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C4A" w:rsidRPr="00BD146C" w:rsidRDefault="009F7C4A" w:rsidP="009F7C4A">
      <w:pPr>
        <w:jc w:val="center"/>
        <w:rPr>
          <w:rFonts w:ascii="Times New Roman" w:hAnsi="Times New Roman" w:cs="Times New Roman"/>
          <w:b/>
          <w:sz w:val="24"/>
          <w:szCs w:val="24"/>
        </w:rPr>
      </w:pPr>
      <w:r w:rsidRPr="00BD146C">
        <w:rPr>
          <w:rFonts w:ascii="Times New Roman" w:hAnsi="Times New Roman" w:cs="Times New Roman"/>
          <w:b/>
          <w:sz w:val="24"/>
          <w:szCs w:val="24"/>
        </w:rPr>
        <w:t>ACCT 4110 – TAXATION II</w:t>
      </w:r>
    </w:p>
    <w:p w:rsidR="009F7C4A" w:rsidRPr="00BD146C" w:rsidRDefault="009F7C4A" w:rsidP="009F6752">
      <w:pPr>
        <w:jc w:val="center"/>
        <w:rPr>
          <w:rFonts w:ascii="Times New Roman" w:hAnsi="Times New Roman" w:cs="Times New Roman"/>
          <w:b/>
          <w:sz w:val="24"/>
          <w:szCs w:val="24"/>
        </w:rPr>
      </w:pPr>
      <w:r w:rsidRPr="00BD146C">
        <w:rPr>
          <w:rFonts w:ascii="Times New Roman" w:hAnsi="Times New Roman" w:cs="Times New Roman"/>
          <w:b/>
          <w:sz w:val="24"/>
          <w:szCs w:val="24"/>
        </w:rPr>
        <w:t>Short Answers</w:t>
      </w:r>
    </w:p>
    <w:p w:rsidR="009F7C4A" w:rsidRPr="00BD146C" w:rsidRDefault="009F7C4A" w:rsidP="00B60EB3">
      <w:pPr>
        <w:pStyle w:val="ListParagraph"/>
        <w:numPr>
          <w:ilvl w:val="0"/>
          <w:numId w:val="7"/>
        </w:numPr>
        <w:rPr>
          <w:rFonts w:ascii="Times New Roman" w:hAnsi="Times New Roman" w:cs="Times New Roman"/>
          <w:b/>
          <w:sz w:val="24"/>
          <w:szCs w:val="24"/>
        </w:rPr>
      </w:pPr>
      <w:r w:rsidRPr="00BD146C">
        <w:rPr>
          <w:rFonts w:ascii="Times New Roman" w:hAnsi="Times New Roman" w:cs="Times New Roman"/>
          <w:b/>
          <w:sz w:val="24"/>
          <w:szCs w:val="24"/>
        </w:rPr>
        <w:t>List the three sources of tax law. Provide a brief statement about each.</w:t>
      </w:r>
    </w:p>
    <w:p w:rsidR="009F7C4A" w:rsidRPr="00BD146C" w:rsidRDefault="009F7C4A" w:rsidP="009F7C4A">
      <w:pPr>
        <w:rPr>
          <w:rFonts w:ascii="Times New Roman" w:hAnsi="Times New Roman" w:cs="Times New Roman"/>
          <w:sz w:val="24"/>
          <w:szCs w:val="24"/>
        </w:rPr>
      </w:pPr>
      <w:r w:rsidRPr="00BD146C">
        <w:rPr>
          <w:rFonts w:ascii="Times New Roman" w:hAnsi="Times New Roman" w:cs="Times New Roman"/>
          <w:sz w:val="24"/>
          <w:szCs w:val="24"/>
        </w:rPr>
        <w:t xml:space="preserve">One of the things we need to know is all about a substantial tax authority, which are sources that tell us whether an item is taxable, deductible, included or excluded from taxation. The three sources of tax authority are: </w:t>
      </w:r>
    </w:p>
    <w:p w:rsidR="009F7C4A" w:rsidRPr="00BD146C" w:rsidRDefault="009F7C4A" w:rsidP="009F7C4A">
      <w:pPr>
        <w:pStyle w:val="ListParagraph"/>
        <w:numPr>
          <w:ilvl w:val="0"/>
          <w:numId w:val="1"/>
        </w:numPr>
        <w:rPr>
          <w:rFonts w:ascii="Times New Roman" w:hAnsi="Times New Roman" w:cs="Times New Roman"/>
          <w:sz w:val="24"/>
          <w:szCs w:val="24"/>
        </w:rPr>
      </w:pPr>
      <w:r w:rsidRPr="00BD146C">
        <w:rPr>
          <w:rFonts w:ascii="Times New Roman" w:hAnsi="Times New Roman" w:cs="Times New Roman"/>
          <w:sz w:val="24"/>
          <w:szCs w:val="24"/>
        </w:rPr>
        <w:t>Legislative law</w:t>
      </w:r>
    </w:p>
    <w:p w:rsidR="009F7C4A" w:rsidRPr="00BD146C" w:rsidRDefault="009F7C4A" w:rsidP="009F7C4A">
      <w:pPr>
        <w:pStyle w:val="ListParagraph"/>
        <w:numPr>
          <w:ilvl w:val="0"/>
          <w:numId w:val="1"/>
        </w:numPr>
        <w:rPr>
          <w:rFonts w:ascii="Times New Roman" w:hAnsi="Times New Roman" w:cs="Times New Roman"/>
          <w:sz w:val="24"/>
          <w:szCs w:val="24"/>
        </w:rPr>
      </w:pPr>
      <w:r w:rsidRPr="00BD146C">
        <w:rPr>
          <w:rFonts w:ascii="Times New Roman" w:hAnsi="Times New Roman" w:cs="Times New Roman"/>
          <w:sz w:val="24"/>
          <w:szCs w:val="24"/>
        </w:rPr>
        <w:t>Administrative law</w:t>
      </w:r>
    </w:p>
    <w:p w:rsidR="009F7C4A" w:rsidRPr="00BD146C" w:rsidRDefault="009F7C4A" w:rsidP="009F7C4A">
      <w:pPr>
        <w:pStyle w:val="ListParagraph"/>
        <w:numPr>
          <w:ilvl w:val="0"/>
          <w:numId w:val="1"/>
        </w:numPr>
        <w:rPr>
          <w:rFonts w:ascii="Times New Roman" w:hAnsi="Times New Roman" w:cs="Times New Roman"/>
          <w:sz w:val="24"/>
          <w:szCs w:val="24"/>
        </w:rPr>
      </w:pPr>
      <w:r w:rsidRPr="00BD146C">
        <w:rPr>
          <w:rFonts w:ascii="Times New Roman" w:hAnsi="Times New Roman" w:cs="Times New Roman"/>
          <w:sz w:val="24"/>
          <w:szCs w:val="24"/>
        </w:rPr>
        <w:t>Judicial law</w:t>
      </w:r>
    </w:p>
    <w:p w:rsidR="00C26FBF" w:rsidRDefault="009F7C4A" w:rsidP="009F7C4A">
      <w:pPr>
        <w:rPr>
          <w:rFonts w:ascii="Times New Roman" w:hAnsi="Times New Roman" w:cs="Times New Roman"/>
          <w:b/>
          <w:sz w:val="24"/>
          <w:szCs w:val="24"/>
        </w:rPr>
      </w:pPr>
      <w:r w:rsidRPr="00BD146C">
        <w:rPr>
          <w:rFonts w:ascii="Times New Roman" w:hAnsi="Times New Roman" w:cs="Times New Roman"/>
          <w:b/>
          <w:sz w:val="24"/>
          <w:szCs w:val="24"/>
        </w:rPr>
        <w:t>Legislative Law</w:t>
      </w:r>
      <w:r w:rsidRPr="00BD146C">
        <w:rPr>
          <w:rFonts w:ascii="Times New Roman" w:hAnsi="Times New Roman" w:cs="Times New Roman"/>
          <w:sz w:val="24"/>
          <w:szCs w:val="24"/>
        </w:rPr>
        <w:t xml:space="preserve"> – when we think about legislative law, what comes in mind is the Congress. It is the original source. In contrast to administrative law and judicial law, which are interpretation of the law itself. It is written by the U.S Congress. For example, Tax Cuts and Jobs Act, and also Tax Treaties that govern income earned in foreign countries. Two more examples of a legislative law are the Internal Revenue Code and Congressional Committee reports, which are primary sources of federal tax law.</w:t>
      </w:r>
      <w:r w:rsidRPr="00BD146C">
        <w:rPr>
          <w:rFonts w:ascii="Times New Roman" w:hAnsi="Times New Roman" w:cs="Times New Roman"/>
          <w:b/>
          <w:sz w:val="24"/>
          <w:szCs w:val="24"/>
        </w:rPr>
        <w:t xml:space="preserve"> </w:t>
      </w:r>
    </w:p>
    <w:p w:rsidR="009F7C4A" w:rsidRPr="00BD146C" w:rsidRDefault="009F7C4A" w:rsidP="009F7C4A">
      <w:pPr>
        <w:rPr>
          <w:rFonts w:ascii="Times New Roman" w:hAnsi="Times New Roman" w:cs="Times New Roman"/>
          <w:sz w:val="24"/>
          <w:szCs w:val="24"/>
        </w:rPr>
      </w:pPr>
      <w:r w:rsidRPr="00BD146C">
        <w:rPr>
          <w:rFonts w:ascii="Times New Roman" w:hAnsi="Times New Roman" w:cs="Times New Roman"/>
          <w:b/>
          <w:sz w:val="24"/>
          <w:szCs w:val="24"/>
        </w:rPr>
        <w:t>Administrative Law</w:t>
      </w:r>
      <w:r w:rsidRPr="00BD146C">
        <w:rPr>
          <w:rFonts w:ascii="Times New Roman" w:hAnsi="Times New Roman" w:cs="Times New Roman"/>
          <w:sz w:val="24"/>
          <w:szCs w:val="24"/>
        </w:rPr>
        <w:t xml:space="preserve"> – when we think about the administrative law, think about the department of Treasury. These are tax rules, regulations, and procedures implemented and enforced by the Treasury Department. The IRS is a bureau of the Treasury Department. Examples of administrative laws set under this department include: </w:t>
      </w:r>
    </w:p>
    <w:p w:rsidR="009F7C4A" w:rsidRPr="00BD146C" w:rsidRDefault="009F7C4A" w:rsidP="009F7C4A">
      <w:pPr>
        <w:pStyle w:val="ListParagraph"/>
        <w:numPr>
          <w:ilvl w:val="0"/>
          <w:numId w:val="2"/>
        </w:numPr>
        <w:rPr>
          <w:rFonts w:ascii="Times New Roman" w:hAnsi="Times New Roman" w:cs="Times New Roman"/>
          <w:sz w:val="24"/>
          <w:szCs w:val="24"/>
        </w:rPr>
      </w:pPr>
      <w:r w:rsidRPr="00BD146C">
        <w:rPr>
          <w:rFonts w:ascii="Times New Roman" w:hAnsi="Times New Roman" w:cs="Times New Roman"/>
          <w:sz w:val="24"/>
          <w:szCs w:val="24"/>
        </w:rPr>
        <w:t>Treasury regulations</w:t>
      </w:r>
    </w:p>
    <w:p w:rsidR="009F7C4A" w:rsidRPr="00BD146C" w:rsidRDefault="009F7C4A" w:rsidP="009F7C4A">
      <w:pPr>
        <w:pStyle w:val="ListParagraph"/>
        <w:numPr>
          <w:ilvl w:val="0"/>
          <w:numId w:val="2"/>
        </w:numPr>
        <w:rPr>
          <w:rFonts w:ascii="Times New Roman" w:hAnsi="Times New Roman" w:cs="Times New Roman"/>
          <w:sz w:val="24"/>
          <w:szCs w:val="24"/>
        </w:rPr>
      </w:pPr>
      <w:r w:rsidRPr="00BD146C">
        <w:rPr>
          <w:rFonts w:ascii="Times New Roman" w:hAnsi="Times New Roman" w:cs="Times New Roman"/>
          <w:sz w:val="24"/>
          <w:szCs w:val="24"/>
        </w:rPr>
        <w:t>Revenue ruling</w:t>
      </w:r>
    </w:p>
    <w:p w:rsidR="009F7C4A" w:rsidRPr="00BD146C" w:rsidRDefault="009F7C4A" w:rsidP="009F7C4A">
      <w:pPr>
        <w:pStyle w:val="ListParagraph"/>
        <w:numPr>
          <w:ilvl w:val="0"/>
          <w:numId w:val="2"/>
        </w:numPr>
        <w:rPr>
          <w:rFonts w:ascii="Times New Roman" w:hAnsi="Times New Roman" w:cs="Times New Roman"/>
          <w:sz w:val="24"/>
          <w:szCs w:val="24"/>
        </w:rPr>
      </w:pPr>
      <w:r w:rsidRPr="00BD146C">
        <w:rPr>
          <w:rFonts w:ascii="Times New Roman" w:hAnsi="Times New Roman" w:cs="Times New Roman"/>
          <w:sz w:val="24"/>
          <w:szCs w:val="24"/>
        </w:rPr>
        <w:t>Revenue procedures</w:t>
      </w:r>
    </w:p>
    <w:p w:rsidR="009F7C4A" w:rsidRPr="00BD146C" w:rsidRDefault="009F7C4A" w:rsidP="009F7C4A">
      <w:pPr>
        <w:pStyle w:val="ListParagraph"/>
        <w:numPr>
          <w:ilvl w:val="0"/>
          <w:numId w:val="2"/>
        </w:numPr>
        <w:rPr>
          <w:rFonts w:ascii="Times New Roman" w:hAnsi="Times New Roman" w:cs="Times New Roman"/>
          <w:sz w:val="24"/>
          <w:szCs w:val="24"/>
        </w:rPr>
      </w:pPr>
      <w:r w:rsidRPr="00BD146C">
        <w:rPr>
          <w:rFonts w:ascii="Times New Roman" w:hAnsi="Times New Roman" w:cs="Times New Roman"/>
          <w:sz w:val="24"/>
          <w:szCs w:val="24"/>
        </w:rPr>
        <w:t>Internal revenue bulletin</w:t>
      </w:r>
    </w:p>
    <w:p w:rsidR="009F7C4A" w:rsidRPr="00BD146C" w:rsidRDefault="009F7C4A" w:rsidP="009F7C4A">
      <w:pPr>
        <w:pStyle w:val="ListParagraph"/>
        <w:numPr>
          <w:ilvl w:val="0"/>
          <w:numId w:val="2"/>
        </w:numPr>
        <w:rPr>
          <w:rFonts w:ascii="Times New Roman" w:hAnsi="Times New Roman" w:cs="Times New Roman"/>
          <w:sz w:val="24"/>
          <w:szCs w:val="24"/>
        </w:rPr>
      </w:pPr>
      <w:r w:rsidRPr="00BD146C">
        <w:rPr>
          <w:rFonts w:ascii="Times New Roman" w:hAnsi="Times New Roman" w:cs="Times New Roman"/>
          <w:sz w:val="24"/>
          <w:szCs w:val="24"/>
        </w:rPr>
        <w:t>Technical advice memoranda</w:t>
      </w:r>
    </w:p>
    <w:p w:rsidR="009F7C4A" w:rsidRPr="00BD146C" w:rsidRDefault="009F7C4A" w:rsidP="009F7C4A">
      <w:pPr>
        <w:pStyle w:val="ListParagraph"/>
        <w:numPr>
          <w:ilvl w:val="0"/>
          <w:numId w:val="2"/>
        </w:numPr>
        <w:rPr>
          <w:rFonts w:ascii="Times New Roman" w:hAnsi="Times New Roman" w:cs="Times New Roman"/>
          <w:sz w:val="24"/>
          <w:szCs w:val="24"/>
        </w:rPr>
      </w:pPr>
      <w:r w:rsidRPr="00BD146C">
        <w:rPr>
          <w:rFonts w:ascii="Times New Roman" w:hAnsi="Times New Roman" w:cs="Times New Roman"/>
          <w:sz w:val="24"/>
          <w:szCs w:val="24"/>
        </w:rPr>
        <w:t>Private letter ruling</w:t>
      </w:r>
    </w:p>
    <w:p w:rsidR="009F7C4A" w:rsidRPr="00BD146C" w:rsidRDefault="009F7C4A" w:rsidP="009F7C4A">
      <w:pPr>
        <w:pStyle w:val="ListParagraph"/>
        <w:numPr>
          <w:ilvl w:val="0"/>
          <w:numId w:val="2"/>
        </w:numPr>
        <w:rPr>
          <w:rFonts w:ascii="Times New Roman" w:hAnsi="Times New Roman" w:cs="Times New Roman"/>
          <w:sz w:val="24"/>
          <w:szCs w:val="24"/>
        </w:rPr>
      </w:pPr>
      <w:r w:rsidRPr="00BD146C">
        <w:rPr>
          <w:rFonts w:ascii="Times New Roman" w:hAnsi="Times New Roman" w:cs="Times New Roman"/>
          <w:sz w:val="24"/>
          <w:szCs w:val="24"/>
        </w:rPr>
        <w:t>IRS Publications</w:t>
      </w:r>
    </w:p>
    <w:p w:rsidR="009F7C4A" w:rsidRPr="00BD146C" w:rsidRDefault="009F7C4A" w:rsidP="009F7C4A">
      <w:pPr>
        <w:rPr>
          <w:rFonts w:ascii="Times New Roman" w:hAnsi="Times New Roman" w:cs="Times New Roman"/>
          <w:sz w:val="24"/>
          <w:szCs w:val="24"/>
        </w:rPr>
      </w:pPr>
      <w:r w:rsidRPr="00BD146C">
        <w:rPr>
          <w:rFonts w:ascii="Times New Roman" w:hAnsi="Times New Roman" w:cs="Times New Roman"/>
          <w:b/>
          <w:sz w:val="24"/>
          <w:szCs w:val="24"/>
        </w:rPr>
        <w:t xml:space="preserve">Judicial Law – </w:t>
      </w:r>
      <w:r w:rsidRPr="00BD146C">
        <w:rPr>
          <w:rFonts w:ascii="Times New Roman" w:hAnsi="Times New Roman" w:cs="Times New Roman"/>
          <w:sz w:val="24"/>
          <w:szCs w:val="24"/>
        </w:rPr>
        <w:t xml:space="preserve">When you think of judicial law think of the judicial system-judges. These laws originate from the federal court system or what is called common law and they are primarily composed of court opinions. In other words, court cases are considered a primary authoritative source when conducting tax research. </w:t>
      </w:r>
    </w:p>
    <w:p w:rsidR="00C61833" w:rsidRPr="00BD146C" w:rsidRDefault="00C61833" w:rsidP="00B60EB3">
      <w:pPr>
        <w:pStyle w:val="ListParagraph"/>
        <w:numPr>
          <w:ilvl w:val="0"/>
          <w:numId w:val="7"/>
        </w:numPr>
        <w:rPr>
          <w:rFonts w:ascii="Times New Roman" w:hAnsi="Times New Roman" w:cs="Times New Roman"/>
          <w:b/>
          <w:sz w:val="24"/>
          <w:szCs w:val="24"/>
        </w:rPr>
      </w:pPr>
      <w:r w:rsidRPr="00BD146C">
        <w:rPr>
          <w:rFonts w:ascii="Times New Roman" w:hAnsi="Times New Roman" w:cs="Times New Roman"/>
          <w:b/>
          <w:sz w:val="24"/>
          <w:szCs w:val="24"/>
        </w:rPr>
        <w:t xml:space="preserve">If a taxpayer has a disagreement with the IRS and has exhausted all administrative efforts, which courts of original jurisdiction will hear his case? (list all) </w:t>
      </w:r>
    </w:p>
    <w:p w:rsidR="008F5659" w:rsidRPr="00BD146C" w:rsidRDefault="00C61833">
      <w:pPr>
        <w:rPr>
          <w:rFonts w:ascii="Times New Roman" w:hAnsi="Times New Roman" w:cs="Times New Roman"/>
          <w:sz w:val="24"/>
          <w:szCs w:val="24"/>
        </w:rPr>
      </w:pPr>
      <w:r w:rsidRPr="00BD146C">
        <w:rPr>
          <w:rFonts w:ascii="Times New Roman" w:hAnsi="Times New Roman" w:cs="Times New Roman"/>
          <w:sz w:val="24"/>
          <w:szCs w:val="24"/>
        </w:rPr>
        <w:t xml:space="preserve">If a taxpayer has exhausted all administrative efforts without any satisfactory settlement, then the dispute can be taken to a higher level i.e., a federal court. </w:t>
      </w:r>
      <w:r w:rsidR="001843E5" w:rsidRPr="00BD146C">
        <w:rPr>
          <w:rFonts w:ascii="Times New Roman" w:hAnsi="Times New Roman" w:cs="Times New Roman"/>
          <w:sz w:val="24"/>
          <w:szCs w:val="24"/>
        </w:rPr>
        <w:t xml:space="preserve">Before that, the dispute would be taken through a trial and, of course, in condition that it is appealed either by the taxpayer or the IRS. </w:t>
      </w:r>
      <w:r w:rsidR="00A70BEB" w:rsidRPr="00BD146C">
        <w:rPr>
          <w:rFonts w:ascii="Times New Roman" w:hAnsi="Times New Roman" w:cs="Times New Roman"/>
          <w:sz w:val="24"/>
          <w:szCs w:val="24"/>
        </w:rPr>
        <w:t>An appellate court is charged with reviewing a reviewing the record of trial from the trial court. Generally, the</w:t>
      </w:r>
      <w:r w:rsidR="001843E5" w:rsidRPr="00BD146C">
        <w:rPr>
          <w:rFonts w:ascii="Times New Roman" w:hAnsi="Times New Roman" w:cs="Times New Roman"/>
          <w:sz w:val="24"/>
          <w:szCs w:val="24"/>
        </w:rPr>
        <w:t xml:space="preserve"> courts of original jurisdiction that are likely to hear the case </w:t>
      </w:r>
      <w:r w:rsidR="00D01848" w:rsidRPr="00BD146C">
        <w:rPr>
          <w:rFonts w:ascii="Times New Roman" w:hAnsi="Times New Roman" w:cs="Times New Roman"/>
          <w:sz w:val="24"/>
          <w:szCs w:val="24"/>
        </w:rPr>
        <w:t>may include:</w:t>
      </w:r>
      <w:r w:rsidR="001843E5" w:rsidRPr="00BD146C">
        <w:rPr>
          <w:rFonts w:ascii="Times New Roman" w:hAnsi="Times New Roman" w:cs="Times New Roman"/>
          <w:sz w:val="24"/>
          <w:szCs w:val="24"/>
        </w:rPr>
        <w:t xml:space="preserve"> </w:t>
      </w:r>
      <w:proofErr w:type="gramStart"/>
      <w:r w:rsidR="00D01848" w:rsidRPr="00BD146C">
        <w:rPr>
          <w:rFonts w:ascii="Times New Roman" w:hAnsi="Times New Roman" w:cs="Times New Roman"/>
          <w:sz w:val="24"/>
          <w:szCs w:val="24"/>
        </w:rPr>
        <w:t>the</w:t>
      </w:r>
      <w:proofErr w:type="gramEnd"/>
      <w:r w:rsidR="001843E5" w:rsidRPr="00BD146C">
        <w:rPr>
          <w:rFonts w:ascii="Times New Roman" w:hAnsi="Times New Roman" w:cs="Times New Roman"/>
          <w:sz w:val="24"/>
          <w:szCs w:val="24"/>
        </w:rPr>
        <w:t xml:space="preserve"> U.S. </w:t>
      </w:r>
      <w:r w:rsidR="001843E5" w:rsidRPr="00BD146C">
        <w:rPr>
          <w:rFonts w:ascii="Times New Roman" w:hAnsi="Times New Roman" w:cs="Times New Roman"/>
          <w:sz w:val="24"/>
          <w:szCs w:val="24"/>
        </w:rPr>
        <w:lastRenderedPageBreak/>
        <w:t xml:space="preserve">Tax Court, Federal District Court, the U.S. Court of Federal Claims, and/or the Small Cases Division of the U.S. Tax court. </w:t>
      </w:r>
    </w:p>
    <w:p w:rsidR="00B60EB3" w:rsidRPr="00BD146C" w:rsidRDefault="00B60EB3" w:rsidP="00B60EB3">
      <w:pPr>
        <w:pStyle w:val="ListParagraph"/>
        <w:numPr>
          <w:ilvl w:val="0"/>
          <w:numId w:val="7"/>
        </w:numPr>
        <w:rPr>
          <w:rFonts w:ascii="Times New Roman" w:hAnsi="Times New Roman" w:cs="Times New Roman"/>
          <w:b/>
          <w:sz w:val="24"/>
          <w:szCs w:val="24"/>
        </w:rPr>
      </w:pPr>
      <w:r w:rsidRPr="00BD146C">
        <w:rPr>
          <w:rFonts w:ascii="Times New Roman" w:hAnsi="Times New Roman" w:cs="Times New Roman"/>
          <w:b/>
          <w:sz w:val="24"/>
          <w:szCs w:val="24"/>
        </w:rPr>
        <w:t>In the question above, explain the differences between the courts with respect to: payment of deficiency before trial, jury trial and types of disputes.</w:t>
      </w:r>
    </w:p>
    <w:p w:rsidR="00811645" w:rsidRPr="00BD146C" w:rsidRDefault="00811645" w:rsidP="008E736E">
      <w:pPr>
        <w:pStyle w:val="ListParagraph"/>
        <w:numPr>
          <w:ilvl w:val="0"/>
          <w:numId w:val="8"/>
        </w:numPr>
        <w:ind w:left="1080"/>
        <w:rPr>
          <w:rFonts w:ascii="Times New Roman" w:hAnsi="Times New Roman" w:cs="Times New Roman"/>
          <w:sz w:val="24"/>
          <w:szCs w:val="24"/>
        </w:rPr>
      </w:pPr>
      <w:r w:rsidRPr="00BD146C">
        <w:rPr>
          <w:rFonts w:ascii="Times New Roman" w:hAnsi="Times New Roman" w:cs="Times New Roman"/>
          <w:sz w:val="24"/>
          <w:szCs w:val="24"/>
        </w:rPr>
        <w:t xml:space="preserve">The U.S Tax Court of federal claims comprises of 16 judges. In this court, there is payment of deficiency before trial. The court does not handle any jury trials and the types of disputes handled here are any claims against the united states. </w:t>
      </w:r>
    </w:p>
    <w:p w:rsidR="00811645" w:rsidRPr="00BD146C" w:rsidRDefault="00811645" w:rsidP="008E736E">
      <w:pPr>
        <w:pStyle w:val="ListParagraph"/>
        <w:numPr>
          <w:ilvl w:val="0"/>
          <w:numId w:val="8"/>
        </w:numPr>
        <w:ind w:left="1080"/>
        <w:rPr>
          <w:rFonts w:ascii="Times New Roman" w:hAnsi="Times New Roman" w:cs="Times New Roman"/>
          <w:sz w:val="24"/>
          <w:szCs w:val="24"/>
        </w:rPr>
      </w:pPr>
      <w:r w:rsidRPr="00BD146C">
        <w:rPr>
          <w:rFonts w:ascii="Times New Roman" w:hAnsi="Times New Roman" w:cs="Times New Roman"/>
          <w:sz w:val="24"/>
          <w:szCs w:val="24"/>
        </w:rPr>
        <w:t xml:space="preserve">The number of judges in the Federal District Court varies. There is payment of deficiency before trial. The court has a jury trial and the types of disputes handled in these courts are criminal and civil issues. </w:t>
      </w:r>
    </w:p>
    <w:p w:rsidR="00811645" w:rsidRPr="00BD146C" w:rsidRDefault="00811645" w:rsidP="008E736E">
      <w:pPr>
        <w:pStyle w:val="ListParagraph"/>
        <w:numPr>
          <w:ilvl w:val="0"/>
          <w:numId w:val="8"/>
        </w:numPr>
        <w:ind w:left="1080"/>
        <w:rPr>
          <w:rFonts w:ascii="Times New Roman" w:hAnsi="Times New Roman" w:cs="Times New Roman"/>
          <w:sz w:val="24"/>
          <w:szCs w:val="24"/>
        </w:rPr>
      </w:pPr>
      <w:r w:rsidRPr="00BD146C">
        <w:rPr>
          <w:rFonts w:ascii="Times New Roman" w:hAnsi="Times New Roman" w:cs="Times New Roman"/>
          <w:sz w:val="24"/>
          <w:szCs w:val="24"/>
        </w:rPr>
        <w:t xml:space="preserve">The U.S. Tax Court/Small Cases- this court comprises of 19 judges. There is no payment of deficiency before trial and the types of disputes handled here are tax cases. </w:t>
      </w:r>
    </w:p>
    <w:p w:rsidR="008E736E" w:rsidRPr="00BD146C" w:rsidRDefault="008E736E" w:rsidP="008E736E">
      <w:pPr>
        <w:pStyle w:val="NormalWeb"/>
        <w:ind w:left="1080"/>
      </w:pPr>
      <w:r w:rsidRPr="00BD146C">
        <w:t>Name two on-line tax research sites/software (other than CCH) and provide the web info to access each. Include a copy of the home page of each.</w:t>
      </w:r>
    </w:p>
    <w:p w:rsidR="008E736E" w:rsidRPr="00BD146C" w:rsidRDefault="008E736E" w:rsidP="008E736E">
      <w:pPr>
        <w:pStyle w:val="ListParagraph"/>
        <w:numPr>
          <w:ilvl w:val="0"/>
          <w:numId w:val="7"/>
        </w:numPr>
        <w:rPr>
          <w:rFonts w:ascii="Times New Roman" w:hAnsi="Times New Roman" w:cs="Times New Roman"/>
          <w:b/>
          <w:sz w:val="24"/>
          <w:szCs w:val="24"/>
        </w:rPr>
      </w:pPr>
      <w:r w:rsidRPr="00BD146C">
        <w:rPr>
          <w:rFonts w:ascii="Times New Roman" w:hAnsi="Times New Roman" w:cs="Times New Roman"/>
          <w:b/>
          <w:sz w:val="24"/>
          <w:szCs w:val="24"/>
        </w:rPr>
        <w:t>Name two on-line tax research sites/software (other than CCH) and provide the web info to access each. Include a copy of the home page of each.</w:t>
      </w:r>
    </w:p>
    <w:p w:rsidR="00D01848" w:rsidRPr="00BD146C" w:rsidRDefault="00D91EEB" w:rsidP="008E736E">
      <w:pPr>
        <w:pStyle w:val="ListParagraph"/>
        <w:rPr>
          <w:rFonts w:ascii="Times New Roman" w:hAnsi="Times New Roman" w:cs="Times New Roman"/>
          <w:sz w:val="24"/>
          <w:szCs w:val="24"/>
        </w:rPr>
      </w:pPr>
      <w:r w:rsidRPr="00BD146C">
        <w:rPr>
          <w:rFonts w:ascii="Times New Roman" w:hAnsi="Times New Roman" w:cs="Times New Roman"/>
          <w:sz w:val="24"/>
          <w:szCs w:val="24"/>
        </w:rPr>
        <w:t xml:space="preserve">Two of the most widely used online tax research sites are: </w:t>
      </w:r>
    </w:p>
    <w:p w:rsidR="00D91EEB" w:rsidRPr="00BD146C" w:rsidRDefault="005812BF" w:rsidP="004234BA">
      <w:pPr>
        <w:pStyle w:val="ListParagraph"/>
        <w:numPr>
          <w:ilvl w:val="0"/>
          <w:numId w:val="9"/>
        </w:numPr>
        <w:rPr>
          <w:rFonts w:ascii="Times New Roman" w:hAnsi="Times New Roman" w:cs="Times New Roman"/>
          <w:b/>
          <w:sz w:val="24"/>
          <w:szCs w:val="24"/>
        </w:rPr>
      </w:pPr>
      <w:hyperlink r:id="rId5" w:history="1">
        <w:r w:rsidR="004234BA" w:rsidRPr="00BD146C">
          <w:rPr>
            <w:rStyle w:val="Hyperlink"/>
            <w:rFonts w:ascii="Times New Roman" w:hAnsi="Times New Roman" w:cs="Times New Roman"/>
            <w:b/>
            <w:sz w:val="24"/>
            <w:szCs w:val="24"/>
          </w:rPr>
          <w:t>http://www.taxalmanac.org</w:t>
        </w:r>
      </w:hyperlink>
      <w:r w:rsidR="004234BA" w:rsidRPr="00BD146C">
        <w:rPr>
          <w:rFonts w:ascii="Times New Roman" w:hAnsi="Times New Roman" w:cs="Times New Roman"/>
          <w:b/>
          <w:sz w:val="24"/>
          <w:szCs w:val="24"/>
        </w:rPr>
        <w:t xml:space="preserve"> </w:t>
      </w:r>
      <w:r w:rsidR="00D91EEB" w:rsidRPr="00BD146C">
        <w:rPr>
          <w:rFonts w:ascii="Times New Roman" w:hAnsi="Times New Roman" w:cs="Times New Roman"/>
          <w:b/>
          <w:sz w:val="24"/>
          <w:szCs w:val="24"/>
        </w:rPr>
        <w:t xml:space="preserve"> – </w:t>
      </w:r>
      <w:r w:rsidR="00D91EEB" w:rsidRPr="00BD146C">
        <w:rPr>
          <w:rFonts w:ascii="Times New Roman" w:hAnsi="Times New Roman" w:cs="Times New Roman"/>
          <w:sz w:val="24"/>
          <w:szCs w:val="24"/>
        </w:rPr>
        <w:t>provide a</w:t>
      </w:r>
      <w:r w:rsidR="004234BA" w:rsidRPr="00BD146C">
        <w:rPr>
          <w:rFonts w:ascii="Times New Roman" w:hAnsi="Times New Roman" w:cs="Times New Roman"/>
          <w:sz w:val="24"/>
          <w:szCs w:val="24"/>
        </w:rPr>
        <w:t xml:space="preserve"> tax library and a</w:t>
      </w:r>
      <w:r w:rsidR="00D91EEB" w:rsidRPr="00BD146C">
        <w:rPr>
          <w:rFonts w:ascii="Times New Roman" w:hAnsi="Times New Roman" w:cs="Times New Roman"/>
          <w:sz w:val="24"/>
          <w:szCs w:val="24"/>
        </w:rPr>
        <w:t xml:space="preserve"> platform where tax professionals exchange industry knowledge</w:t>
      </w:r>
      <w:r w:rsidR="004234BA" w:rsidRPr="00BD146C">
        <w:rPr>
          <w:rFonts w:ascii="Times New Roman" w:hAnsi="Times New Roman" w:cs="Times New Roman"/>
          <w:sz w:val="24"/>
          <w:szCs w:val="24"/>
        </w:rPr>
        <w:t xml:space="preserve">, </w:t>
      </w:r>
      <w:r w:rsidR="00D91EEB" w:rsidRPr="00BD146C">
        <w:rPr>
          <w:rFonts w:ascii="Times New Roman" w:hAnsi="Times New Roman" w:cs="Times New Roman"/>
          <w:sz w:val="24"/>
          <w:szCs w:val="24"/>
        </w:rPr>
        <w:t xml:space="preserve">discuss tax issues and gain fresh insights, </w:t>
      </w:r>
      <w:r w:rsidR="004234BA" w:rsidRPr="00BD146C">
        <w:rPr>
          <w:rFonts w:ascii="Times New Roman" w:hAnsi="Times New Roman" w:cs="Times New Roman"/>
          <w:sz w:val="24"/>
          <w:szCs w:val="24"/>
        </w:rPr>
        <w:t xml:space="preserve">share resources, and </w:t>
      </w:r>
      <w:r w:rsidR="00D91EEB" w:rsidRPr="00BD146C">
        <w:rPr>
          <w:rFonts w:ascii="Times New Roman" w:hAnsi="Times New Roman" w:cs="Times New Roman"/>
          <w:sz w:val="24"/>
          <w:szCs w:val="24"/>
        </w:rPr>
        <w:t xml:space="preserve">so forth. </w:t>
      </w:r>
    </w:p>
    <w:p w:rsidR="004234BA" w:rsidRPr="00BD146C" w:rsidRDefault="004234BA" w:rsidP="004234BA">
      <w:pPr>
        <w:ind w:left="720"/>
        <w:rPr>
          <w:rFonts w:ascii="Times New Roman" w:hAnsi="Times New Roman" w:cs="Times New Roman"/>
          <w:b/>
          <w:sz w:val="24"/>
          <w:szCs w:val="24"/>
        </w:rPr>
      </w:pPr>
      <w:r w:rsidRPr="00BD146C">
        <w:rPr>
          <w:rFonts w:ascii="Times New Roman" w:hAnsi="Times New Roman" w:cs="Times New Roman"/>
          <w:noProof/>
          <w:sz w:val="24"/>
          <w:szCs w:val="24"/>
        </w:rPr>
        <w:drawing>
          <wp:inline distT="0" distB="0" distL="0" distR="0" wp14:anchorId="4249053D" wp14:editId="7221D532">
            <wp:extent cx="5943600" cy="29095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909570"/>
                    </a:xfrm>
                    <a:prstGeom prst="rect">
                      <a:avLst/>
                    </a:prstGeom>
                  </pic:spPr>
                </pic:pic>
              </a:graphicData>
            </a:graphic>
          </wp:inline>
        </w:drawing>
      </w:r>
    </w:p>
    <w:p w:rsidR="00336F6B" w:rsidRPr="00BD146C" w:rsidRDefault="005812BF" w:rsidP="003146D2">
      <w:pPr>
        <w:pStyle w:val="ListParagraph"/>
        <w:numPr>
          <w:ilvl w:val="0"/>
          <w:numId w:val="9"/>
        </w:numPr>
        <w:rPr>
          <w:rFonts w:ascii="Times New Roman" w:hAnsi="Times New Roman" w:cs="Times New Roman"/>
          <w:b/>
          <w:sz w:val="24"/>
          <w:szCs w:val="24"/>
        </w:rPr>
      </w:pPr>
      <w:hyperlink r:id="rId7" w:history="1">
        <w:r w:rsidR="003146D2" w:rsidRPr="00BD146C">
          <w:rPr>
            <w:rStyle w:val="Hyperlink"/>
            <w:rFonts w:ascii="Times New Roman" w:hAnsi="Times New Roman" w:cs="Times New Roman"/>
            <w:b/>
            <w:sz w:val="24"/>
            <w:szCs w:val="24"/>
          </w:rPr>
          <w:t>https://www.irs.gov</w:t>
        </w:r>
      </w:hyperlink>
      <w:r w:rsidR="003146D2" w:rsidRPr="00BD146C">
        <w:rPr>
          <w:rFonts w:ascii="Times New Roman" w:hAnsi="Times New Roman" w:cs="Times New Roman"/>
          <w:b/>
          <w:sz w:val="24"/>
          <w:szCs w:val="24"/>
        </w:rPr>
        <w:t xml:space="preserve">  – </w:t>
      </w:r>
      <w:r w:rsidR="003146D2" w:rsidRPr="00BD146C">
        <w:rPr>
          <w:rFonts w:ascii="Times New Roman" w:hAnsi="Times New Roman" w:cs="Times New Roman"/>
          <w:sz w:val="24"/>
          <w:szCs w:val="24"/>
        </w:rPr>
        <w:t xml:space="preserve">this is a government website providing information about tax responsibilities. It is the taxpayers first option whenever they have questions about taxes. Also it allows people to file federal tax returns for free, apply for payment plans, check tax withholding, and so forth. </w:t>
      </w:r>
    </w:p>
    <w:p w:rsidR="005A3FB2" w:rsidRPr="00BD146C" w:rsidRDefault="005A3FB2" w:rsidP="005A3FB2">
      <w:pPr>
        <w:pStyle w:val="ListParagraph"/>
        <w:ind w:left="1080"/>
        <w:rPr>
          <w:rFonts w:ascii="Times New Roman" w:hAnsi="Times New Roman" w:cs="Times New Roman"/>
          <w:b/>
          <w:sz w:val="24"/>
          <w:szCs w:val="24"/>
        </w:rPr>
      </w:pPr>
      <w:r w:rsidRPr="00BD146C">
        <w:rPr>
          <w:rFonts w:ascii="Times New Roman" w:hAnsi="Times New Roman" w:cs="Times New Roman"/>
          <w:noProof/>
          <w:sz w:val="24"/>
          <w:szCs w:val="24"/>
        </w:rPr>
        <w:lastRenderedPageBreak/>
        <w:drawing>
          <wp:inline distT="0" distB="0" distL="0" distR="0" wp14:anchorId="51299936" wp14:editId="74A4FCA8">
            <wp:extent cx="5943600" cy="30600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060065"/>
                    </a:xfrm>
                    <a:prstGeom prst="rect">
                      <a:avLst/>
                    </a:prstGeom>
                  </pic:spPr>
                </pic:pic>
              </a:graphicData>
            </a:graphic>
          </wp:inline>
        </w:drawing>
      </w:r>
    </w:p>
    <w:p w:rsidR="00F33C1B" w:rsidRPr="00BD146C" w:rsidRDefault="00F33C1B" w:rsidP="00F33C1B">
      <w:pPr>
        <w:pStyle w:val="ListParagraph"/>
        <w:numPr>
          <w:ilvl w:val="0"/>
          <w:numId w:val="7"/>
        </w:numPr>
        <w:rPr>
          <w:rFonts w:ascii="Times New Roman" w:hAnsi="Times New Roman" w:cs="Times New Roman"/>
          <w:b/>
          <w:sz w:val="24"/>
          <w:szCs w:val="24"/>
        </w:rPr>
      </w:pPr>
      <w:r w:rsidRPr="00BD146C">
        <w:rPr>
          <w:rFonts w:ascii="Times New Roman" w:hAnsi="Times New Roman" w:cs="Times New Roman"/>
          <w:b/>
          <w:sz w:val="24"/>
          <w:szCs w:val="24"/>
        </w:rPr>
        <w:t>How do you access CCH via the WPU web page? Provide a copy of the home page.</w:t>
      </w:r>
    </w:p>
    <w:p w:rsidR="003146D2" w:rsidRPr="00BD146C" w:rsidRDefault="00B127DD" w:rsidP="00B127DD">
      <w:pPr>
        <w:pStyle w:val="ListParagraph"/>
        <w:numPr>
          <w:ilvl w:val="0"/>
          <w:numId w:val="10"/>
        </w:numPr>
        <w:rPr>
          <w:rFonts w:ascii="Times New Roman" w:hAnsi="Times New Roman" w:cs="Times New Roman"/>
          <w:sz w:val="24"/>
          <w:szCs w:val="24"/>
        </w:rPr>
      </w:pPr>
      <w:r w:rsidRPr="00BD146C">
        <w:rPr>
          <w:rFonts w:ascii="Times New Roman" w:hAnsi="Times New Roman" w:cs="Times New Roman"/>
          <w:sz w:val="24"/>
          <w:szCs w:val="24"/>
        </w:rPr>
        <w:t>First, v</w:t>
      </w:r>
      <w:r w:rsidR="008C221B" w:rsidRPr="00BD146C">
        <w:rPr>
          <w:rFonts w:ascii="Times New Roman" w:hAnsi="Times New Roman" w:cs="Times New Roman"/>
          <w:sz w:val="24"/>
          <w:szCs w:val="24"/>
        </w:rPr>
        <w:t xml:space="preserve">isit </w:t>
      </w:r>
      <w:hyperlink r:id="rId9" w:history="1">
        <w:r w:rsidR="008C221B" w:rsidRPr="00BD146C">
          <w:rPr>
            <w:rStyle w:val="Hyperlink"/>
            <w:rFonts w:ascii="Times New Roman" w:hAnsi="Times New Roman" w:cs="Times New Roman"/>
            <w:sz w:val="24"/>
            <w:szCs w:val="24"/>
          </w:rPr>
          <w:t>http://www.wpunj.edu/</w:t>
        </w:r>
      </w:hyperlink>
    </w:p>
    <w:p w:rsidR="008C221B" w:rsidRPr="00BD146C" w:rsidRDefault="008C221B" w:rsidP="00B127DD">
      <w:pPr>
        <w:pStyle w:val="ListParagraph"/>
        <w:numPr>
          <w:ilvl w:val="0"/>
          <w:numId w:val="10"/>
        </w:numPr>
        <w:rPr>
          <w:rFonts w:ascii="Times New Roman" w:hAnsi="Times New Roman" w:cs="Times New Roman"/>
          <w:sz w:val="24"/>
          <w:szCs w:val="24"/>
        </w:rPr>
      </w:pPr>
      <w:r w:rsidRPr="00BD146C">
        <w:rPr>
          <w:rFonts w:ascii="Times New Roman" w:hAnsi="Times New Roman" w:cs="Times New Roman"/>
          <w:sz w:val="24"/>
          <w:szCs w:val="24"/>
        </w:rPr>
        <w:t>Under academics, go to “Library”</w:t>
      </w:r>
    </w:p>
    <w:p w:rsidR="008C221B" w:rsidRPr="00BD146C" w:rsidRDefault="008C221B" w:rsidP="00B127DD">
      <w:pPr>
        <w:pStyle w:val="ListParagraph"/>
        <w:numPr>
          <w:ilvl w:val="0"/>
          <w:numId w:val="10"/>
        </w:numPr>
        <w:rPr>
          <w:rFonts w:ascii="Times New Roman" w:hAnsi="Times New Roman" w:cs="Times New Roman"/>
          <w:sz w:val="24"/>
          <w:szCs w:val="24"/>
        </w:rPr>
      </w:pPr>
      <w:r w:rsidRPr="00BD146C">
        <w:rPr>
          <w:rFonts w:ascii="Times New Roman" w:hAnsi="Times New Roman" w:cs="Times New Roman"/>
          <w:sz w:val="24"/>
          <w:szCs w:val="24"/>
        </w:rPr>
        <w:t>Select “Database”, then from the alphabetical database list, select “C”</w:t>
      </w:r>
    </w:p>
    <w:p w:rsidR="004D4831" w:rsidRDefault="008C221B" w:rsidP="004D4831">
      <w:pPr>
        <w:pStyle w:val="ListParagraph"/>
        <w:numPr>
          <w:ilvl w:val="0"/>
          <w:numId w:val="10"/>
        </w:numPr>
        <w:rPr>
          <w:rFonts w:ascii="Times New Roman" w:hAnsi="Times New Roman" w:cs="Times New Roman"/>
          <w:sz w:val="24"/>
          <w:szCs w:val="24"/>
        </w:rPr>
      </w:pPr>
      <w:r w:rsidRPr="00BD146C">
        <w:rPr>
          <w:rFonts w:ascii="Times New Roman" w:hAnsi="Times New Roman" w:cs="Times New Roman"/>
          <w:sz w:val="24"/>
          <w:szCs w:val="24"/>
        </w:rPr>
        <w:t>Find</w:t>
      </w:r>
      <w:r w:rsidR="00B127DD" w:rsidRPr="00BD146C">
        <w:rPr>
          <w:rFonts w:ascii="Times New Roman" w:hAnsi="Times New Roman" w:cs="Times New Roman"/>
          <w:sz w:val="24"/>
          <w:szCs w:val="24"/>
        </w:rPr>
        <w:t xml:space="preserve"> on the listed items</w:t>
      </w:r>
      <w:r w:rsidRPr="00BD146C">
        <w:rPr>
          <w:rFonts w:ascii="Times New Roman" w:hAnsi="Times New Roman" w:cs="Times New Roman"/>
          <w:sz w:val="24"/>
          <w:szCs w:val="24"/>
        </w:rPr>
        <w:t xml:space="preserve"> “CCH Internet Tax Research Network” and click it</w:t>
      </w:r>
      <w:r w:rsidR="001B6257">
        <w:rPr>
          <w:rFonts w:ascii="Times New Roman" w:hAnsi="Times New Roman" w:cs="Times New Roman"/>
          <w:sz w:val="24"/>
          <w:szCs w:val="24"/>
        </w:rPr>
        <w:t>s link</w:t>
      </w:r>
      <w:r w:rsidRPr="00BD146C">
        <w:rPr>
          <w:rFonts w:ascii="Times New Roman" w:hAnsi="Times New Roman" w:cs="Times New Roman"/>
          <w:sz w:val="24"/>
          <w:szCs w:val="24"/>
        </w:rPr>
        <w:t xml:space="preserve">. </w:t>
      </w:r>
    </w:p>
    <w:p w:rsidR="004D4831" w:rsidRDefault="005D55A4" w:rsidP="004D4831">
      <w:pPr>
        <w:rPr>
          <w:rFonts w:ascii="Times New Roman" w:hAnsi="Times New Roman" w:cs="Times New Roman"/>
          <w:sz w:val="24"/>
          <w:szCs w:val="24"/>
        </w:rPr>
      </w:pPr>
      <w:r>
        <w:rPr>
          <w:noProof/>
        </w:rPr>
        <w:drawing>
          <wp:inline distT="0" distB="0" distL="0" distR="0" wp14:anchorId="1B3BDC35" wp14:editId="3DF48EF1">
            <wp:extent cx="5943600" cy="3298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298825"/>
                    </a:xfrm>
                    <a:prstGeom prst="rect">
                      <a:avLst/>
                    </a:prstGeom>
                  </pic:spPr>
                </pic:pic>
              </a:graphicData>
            </a:graphic>
          </wp:inline>
        </w:drawing>
      </w:r>
    </w:p>
    <w:p w:rsidR="004D4831" w:rsidRDefault="004D4831" w:rsidP="004D4831">
      <w:pPr>
        <w:rPr>
          <w:rFonts w:ascii="Times New Roman" w:hAnsi="Times New Roman" w:cs="Times New Roman"/>
          <w:sz w:val="24"/>
          <w:szCs w:val="24"/>
        </w:rPr>
      </w:pPr>
    </w:p>
    <w:p w:rsidR="00101D91" w:rsidRDefault="004D4831" w:rsidP="00966409">
      <w:pPr>
        <w:jc w:val="center"/>
        <w:rPr>
          <w:rFonts w:ascii="Times New Roman" w:hAnsi="Times New Roman" w:cs="Times New Roman"/>
          <w:sz w:val="24"/>
          <w:szCs w:val="24"/>
        </w:rPr>
      </w:pPr>
      <w:r>
        <w:rPr>
          <w:rFonts w:ascii="Times New Roman" w:hAnsi="Times New Roman" w:cs="Times New Roman"/>
          <w:sz w:val="24"/>
          <w:szCs w:val="24"/>
        </w:rPr>
        <w:br w:type="page"/>
      </w:r>
    </w:p>
    <w:p w:rsidR="00101D91" w:rsidRDefault="00101D91" w:rsidP="00966409">
      <w:pPr>
        <w:jc w:val="center"/>
        <w:rPr>
          <w:rFonts w:ascii="Times New Roman" w:hAnsi="Times New Roman" w:cs="Times New Roman"/>
          <w:b/>
          <w:sz w:val="24"/>
          <w:szCs w:val="24"/>
        </w:rPr>
      </w:pPr>
      <w:r>
        <w:rPr>
          <w:rFonts w:ascii="Times New Roman" w:hAnsi="Times New Roman" w:cs="Times New Roman"/>
          <w:b/>
          <w:sz w:val="24"/>
          <w:szCs w:val="24"/>
        </w:rPr>
        <w:lastRenderedPageBreak/>
        <w:t>Part 2</w:t>
      </w:r>
    </w:p>
    <w:p w:rsidR="00966409" w:rsidRPr="00966409" w:rsidRDefault="004D4831" w:rsidP="00966409">
      <w:pPr>
        <w:jc w:val="center"/>
        <w:rPr>
          <w:rFonts w:ascii="Times New Roman" w:hAnsi="Times New Roman" w:cs="Times New Roman"/>
          <w:sz w:val="24"/>
          <w:szCs w:val="24"/>
        </w:rPr>
      </w:pPr>
      <w:r w:rsidRPr="004D4831">
        <w:rPr>
          <w:rFonts w:ascii="Times New Roman" w:hAnsi="Times New Roman" w:cs="Times New Roman"/>
          <w:b/>
          <w:sz w:val="24"/>
          <w:szCs w:val="24"/>
        </w:rPr>
        <w:t>Tax Research</w:t>
      </w:r>
    </w:p>
    <w:p w:rsidR="00B206C9" w:rsidRDefault="008720A5" w:rsidP="00983151">
      <w:pPr>
        <w:ind w:firstLine="720"/>
        <w:rPr>
          <w:rFonts w:ascii="Times New Roman" w:hAnsi="Times New Roman" w:cs="Times New Roman"/>
          <w:b/>
          <w:sz w:val="24"/>
          <w:szCs w:val="24"/>
        </w:rPr>
      </w:pPr>
      <w:r>
        <w:rPr>
          <w:rFonts w:ascii="Times New Roman" w:hAnsi="Times New Roman" w:cs="Times New Roman"/>
          <w:b/>
          <w:sz w:val="24"/>
          <w:szCs w:val="24"/>
        </w:rPr>
        <w:t xml:space="preserve">Statement to the </w:t>
      </w:r>
      <w:r w:rsidR="0006138A">
        <w:rPr>
          <w:rFonts w:ascii="Times New Roman" w:hAnsi="Times New Roman" w:cs="Times New Roman"/>
          <w:b/>
          <w:sz w:val="24"/>
          <w:szCs w:val="24"/>
        </w:rPr>
        <w:t>Client</w:t>
      </w:r>
    </w:p>
    <w:p w:rsidR="000111E5" w:rsidRDefault="008720A5" w:rsidP="00983151">
      <w:pPr>
        <w:spacing w:before="120" w:after="120" w:line="480" w:lineRule="auto"/>
        <w:ind w:firstLine="720"/>
        <w:rPr>
          <w:rFonts w:ascii="Times New Roman" w:hAnsi="Times New Roman" w:cs="Times New Roman"/>
          <w:sz w:val="24"/>
          <w:szCs w:val="24"/>
        </w:rPr>
      </w:pPr>
      <w:r w:rsidRPr="004A0E53">
        <w:rPr>
          <w:rFonts w:ascii="Times New Roman" w:hAnsi="Times New Roman" w:cs="Times New Roman"/>
          <w:sz w:val="24"/>
          <w:szCs w:val="24"/>
        </w:rPr>
        <w:t xml:space="preserve">Based on the research conducted on both taxable and nontaxable income, the inventory </w:t>
      </w:r>
      <w:r w:rsidR="0006138A">
        <w:rPr>
          <w:rFonts w:ascii="Times New Roman" w:hAnsi="Times New Roman" w:cs="Times New Roman"/>
          <w:sz w:val="24"/>
          <w:szCs w:val="24"/>
        </w:rPr>
        <w:t>was subject to federal taxation</w:t>
      </w:r>
      <w:r w:rsidR="006232D2">
        <w:rPr>
          <w:rFonts w:ascii="Times New Roman" w:hAnsi="Times New Roman" w:cs="Times New Roman"/>
          <w:sz w:val="24"/>
          <w:szCs w:val="24"/>
        </w:rPr>
        <w:t xml:space="preserve"> as it</w:t>
      </w:r>
      <w:r w:rsidR="0074013F">
        <w:rPr>
          <w:rFonts w:ascii="Times New Roman" w:hAnsi="Times New Roman" w:cs="Times New Roman"/>
          <w:sz w:val="24"/>
          <w:szCs w:val="24"/>
        </w:rPr>
        <w:t xml:space="preserve"> create</w:t>
      </w:r>
      <w:r w:rsidR="006232D2">
        <w:rPr>
          <w:rFonts w:ascii="Times New Roman" w:hAnsi="Times New Roman" w:cs="Times New Roman"/>
          <w:sz w:val="24"/>
          <w:szCs w:val="24"/>
        </w:rPr>
        <w:t>s</w:t>
      </w:r>
      <w:r w:rsidR="0074013F">
        <w:rPr>
          <w:rFonts w:ascii="Times New Roman" w:hAnsi="Times New Roman" w:cs="Times New Roman"/>
          <w:sz w:val="24"/>
          <w:szCs w:val="24"/>
        </w:rPr>
        <w:t xml:space="preserve"> a taxable income</w:t>
      </w:r>
      <w:r w:rsidR="0006138A">
        <w:rPr>
          <w:rFonts w:ascii="Times New Roman" w:hAnsi="Times New Roman" w:cs="Times New Roman"/>
          <w:sz w:val="24"/>
          <w:szCs w:val="24"/>
        </w:rPr>
        <w:t xml:space="preserve">. </w:t>
      </w:r>
      <w:r w:rsidR="006232D2">
        <w:rPr>
          <w:rFonts w:ascii="Times New Roman" w:hAnsi="Times New Roman" w:cs="Times New Roman"/>
          <w:sz w:val="24"/>
          <w:szCs w:val="24"/>
        </w:rPr>
        <w:t>Think</w:t>
      </w:r>
      <w:r w:rsidR="0006138A">
        <w:rPr>
          <w:rFonts w:ascii="Times New Roman" w:hAnsi="Times New Roman" w:cs="Times New Roman"/>
          <w:sz w:val="24"/>
          <w:szCs w:val="24"/>
        </w:rPr>
        <w:t xml:space="preserve"> about every dollar it </w:t>
      </w:r>
      <w:r w:rsidR="0074013F">
        <w:rPr>
          <w:rFonts w:ascii="Times New Roman" w:hAnsi="Times New Roman" w:cs="Times New Roman"/>
          <w:sz w:val="24"/>
          <w:szCs w:val="24"/>
        </w:rPr>
        <w:t>earned</w:t>
      </w:r>
      <w:r w:rsidR="006232D2">
        <w:rPr>
          <w:rFonts w:ascii="Times New Roman" w:hAnsi="Times New Roman" w:cs="Times New Roman"/>
          <w:sz w:val="24"/>
          <w:szCs w:val="24"/>
        </w:rPr>
        <w:t xml:space="preserve"> for you every year; a </w:t>
      </w:r>
      <w:r w:rsidR="008A6BE6">
        <w:rPr>
          <w:rFonts w:ascii="Times New Roman" w:hAnsi="Times New Roman" w:cs="Times New Roman"/>
          <w:sz w:val="24"/>
          <w:szCs w:val="24"/>
        </w:rPr>
        <w:t xml:space="preserve">taxable income would be </w:t>
      </w:r>
      <w:r w:rsidR="006232D2">
        <w:rPr>
          <w:rFonts w:ascii="Times New Roman" w:hAnsi="Times New Roman" w:cs="Times New Roman"/>
          <w:sz w:val="24"/>
          <w:szCs w:val="24"/>
        </w:rPr>
        <w:t xml:space="preserve">on the profit or capital gains you make, but the good thing is that you can request a deduction to reduce the </w:t>
      </w:r>
      <w:r w:rsidR="006631F2">
        <w:rPr>
          <w:rFonts w:ascii="Times New Roman" w:hAnsi="Times New Roman" w:cs="Times New Roman"/>
          <w:sz w:val="24"/>
          <w:szCs w:val="24"/>
        </w:rPr>
        <w:t xml:space="preserve">accrued </w:t>
      </w:r>
      <w:r w:rsidR="006232D2">
        <w:rPr>
          <w:rFonts w:ascii="Times New Roman" w:hAnsi="Times New Roman" w:cs="Times New Roman"/>
          <w:sz w:val="24"/>
          <w:szCs w:val="24"/>
        </w:rPr>
        <w:t xml:space="preserve">taxable income. There are certain work-related expenses you can claim </w:t>
      </w:r>
      <w:r w:rsidR="006631F2">
        <w:rPr>
          <w:rFonts w:ascii="Times New Roman" w:hAnsi="Times New Roman" w:cs="Times New Roman"/>
          <w:sz w:val="24"/>
          <w:szCs w:val="24"/>
        </w:rPr>
        <w:t>you did</w:t>
      </w:r>
      <w:r w:rsidR="006232D2">
        <w:rPr>
          <w:rFonts w:ascii="Times New Roman" w:hAnsi="Times New Roman" w:cs="Times New Roman"/>
          <w:sz w:val="24"/>
          <w:szCs w:val="24"/>
        </w:rPr>
        <w:t xml:space="preserve"> to be able to do your job and earn an income. T</w:t>
      </w:r>
      <w:r w:rsidR="000111E5">
        <w:rPr>
          <w:rFonts w:ascii="Times New Roman" w:hAnsi="Times New Roman" w:cs="Times New Roman"/>
          <w:sz w:val="24"/>
          <w:szCs w:val="24"/>
        </w:rPr>
        <w:t>hat may</w:t>
      </w:r>
      <w:r w:rsidR="006232D2">
        <w:rPr>
          <w:rFonts w:ascii="Times New Roman" w:hAnsi="Times New Roman" w:cs="Times New Roman"/>
          <w:sz w:val="24"/>
          <w:szCs w:val="24"/>
        </w:rPr>
        <w:t xml:space="preserve"> include things like work-related travel costs, special clothing, tools of trade, </w:t>
      </w:r>
      <w:r w:rsidR="000111E5">
        <w:rPr>
          <w:rFonts w:ascii="Times New Roman" w:hAnsi="Times New Roman" w:cs="Times New Roman"/>
          <w:sz w:val="24"/>
          <w:szCs w:val="24"/>
        </w:rPr>
        <w:t>and self-education.</w:t>
      </w:r>
    </w:p>
    <w:p w:rsidR="006232D2" w:rsidRDefault="000111E5" w:rsidP="00983151">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If you received the inven</w:t>
      </w:r>
      <w:r w:rsidR="00101874">
        <w:rPr>
          <w:rFonts w:ascii="Times New Roman" w:hAnsi="Times New Roman" w:cs="Times New Roman"/>
          <w:sz w:val="24"/>
          <w:szCs w:val="24"/>
        </w:rPr>
        <w:t>tory as a gift</w:t>
      </w:r>
      <w:r>
        <w:rPr>
          <w:rFonts w:ascii="Times New Roman" w:hAnsi="Times New Roman" w:cs="Times New Roman"/>
          <w:sz w:val="24"/>
          <w:szCs w:val="24"/>
        </w:rPr>
        <w:t>, then the U.S federal code §102(c)</w:t>
      </w:r>
      <w:r w:rsidR="006232D2">
        <w:rPr>
          <w:rFonts w:ascii="Times New Roman" w:hAnsi="Times New Roman" w:cs="Times New Roman"/>
          <w:sz w:val="24"/>
          <w:szCs w:val="24"/>
        </w:rPr>
        <w:t xml:space="preserve"> </w:t>
      </w:r>
      <w:r>
        <w:rPr>
          <w:rFonts w:ascii="Times New Roman" w:hAnsi="Times New Roman" w:cs="Times New Roman"/>
          <w:sz w:val="24"/>
          <w:szCs w:val="24"/>
        </w:rPr>
        <w:t xml:space="preserve">can help reduce the taxable income. </w:t>
      </w:r>
      <w:r w:rsidR="00101874">
        <w:rPr>
          <w:rFonts w:ascii="Times New Roman" w:hAnsi="Times New Roman" w:cs="Times New Roman"/>
          <w:sz w:val="24"/>
          <w:szCs w:val="24"/>
        </w:rPr>
        <w:t xml:space="preserve">It allows the taxpayer to exempt the value on the income tax. However, it was received from the employer, then it must be included in the income tax. This regulation is subject to two exceptions. Under </w:t>
      </w:r>
      <w:r w:rsidR="00101874" w:rsidRPr="00101874">
        <w:rPr>
          <w:rFonts w:ascii="Times New Roman" w:hAnsi="Times New Roman" w:cs="Times New Roman"/>
          <w:sz w:val="24"/>
          <w:szCs w:val="24"/>
        </w:rPr>
        <w:t>The U.S federal code §26 US code 132</w:t>
      </w:r>
      <w:r w:rsidR="00101874">
        <w:rPr>
          <w:rFonts w:ascii="Times New Roman" w:hAnsi="Times New Roman" w:cs="Times New Roman"/>
          <w:sz w:val="24"/>
          <w:szCs w:val="24"/>
        </w:rPr>
        <w:t>, c</w:t>
      </w:r>
      <w:r w:rsidR="00366FF4">
        <w:rPr>
          <w:rFonts w:ascii="Times New Roman" w:hAnsi="Times New Roman" w:cs="Times New Roman"/>
          <w:sz w:val="24"/>
          <w:szCs w:val="24"/>
        </w:rPr>
        <w:t>ertain fringe benefits should</w:t>
      </w:r>
      <w:r w:rsidR="00101874">
        <w:rPr>
          <w:rFonts w:ascii="Times New Roman" w:hAnsi="Times New Roman" w:cs="Times New Roman"/>
          <w:sz w:val="24"/>
          <w:szCs w:val="24"/>
        </w:rPr>
        <w:t xml:space="preserve"> not </w:t>
      </w:r>
      <w:r w:rsidR="00366FF4">
        <w:rPr>
          <w:rFonts w:ascii="Times New Roman" w:hAnsi="Times New Roman" w:cs="Times New Roman"/>
          <w:sz w:val="24"/>
          <w:szCs w:val="24"/>
        </w:rPr>
        <w:t xml:space="preserve">be </w:t>
      </w:r>
      <w:r w:rsidR="00101874">
        <w:rPr>
          <w:rFonts w:ascii="Times New Roman" w:hAnsi="Times New Roman" w:cs="Times New Roman"/>
          <w:sz w:val="24"/>
          <w:szCs w:val="24"/>
        </w:rPr>
        <w:t>included in the gross income</w:t>
      </w:r>
      <w:r w:rsidR="005B2447">
        <w:rPr>
          <w:rFonts w:ascii="Times New Roman" w:hAnsi="Times New Roman" w:cs="Times New Roman"/>
          <w:sz w:val="24"/>
          <w:szCs w:val="24"/>
        </w:rPr>
        <w:t xml:space="preserve"> (Cornell Law School, 2021)</w:t>
      </w:r>
      <w:r w:rsidR="00101874">
        <w:rPr>
          <w:rFonts w:ascii="Times New Roman" w:hAnsi="Times New Roman" w:cs="Times New Roman"/>
          <w:sz w:val="24"/>
          <w:szCs w:val="24"/>
        </w:rPr>
        <w:t xml:space="preserve">. </w:t>
      </w:r>
      <w:r w:rsidR="00366FF4">
        <w:rPr>
          <w:rFonts w:ascii="Times New Roman" w:hAnsi="Times New Roman" w:cs="Times New Roman"/>
          <w:sz w:val="24"/>
          <w:szCs w:val="24"/>
        </w:rPr>
        <w:t xml:space="preserve">Such may include things like </w:t>
      </w:r>
      <w:r w:rsidR="00CC465A">
        <w:rPr>
          <w:rFonts w:ascii="Times New Roman" w:hAnsi="Times New Roman" w:cs="Times New Roman"/>
          <w:sz w:val="24"/>
          <w:szCs w:val="24"/>
        </w:rPr>
        <w:t xml:space="preserve">transport fringe, retirement planning service, working condition fringe, employee discount, and so forth. </w:t>
      </w:r>
    </w:p>
    <w:p w:rsidR="00997B3E" w:rsidRDefault="00966409" w:rsidP="00997B3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Whether or not an inventory is offered as a gift, the court might be </w:t>
      </w:r>
      <w:r w:rsidR="00FF4499">
        <w:rPr>
          <w:rFonts w:ascii="Times New Roman" w:hAnsi="Times New Roman" w:cs="Times New Roman"/>
          <w:sz w:val="24"/>
          <w:szCs w:val="24"/>
        </w:rPr>
        <w:t>c</w:t>
      </w:r>
      <w:r>
        <w:rPr>
          <w:rFonts w:ascii="Times New Roman" w:hAnsi="Times New Roman" w:cs="Times New Roman"/>
          <w:sz w:val="24"/>
          <w:szCs w:val="24"/>
        </w:rPr>
        <w:t>orrect in holding that it is necessary to determine</w:t>
      </w:r>
      <w:r w:rsidR="00FF4499">
        <w:rPr>
          <w:rFonts w:ascii="Times New Roman" w:hAnsi="Times New Roman" w:cs="Times New Roman"/>
          <w:sz w:val="24"/>
          <w:szCs w:val="24"/>
        </w:rPr>
        <w:t xml:space="preserve"> the intention </w:t>
      </w:r>
      <w:r>
        <w:rPr>
          <w:rFonts w:ascii="Times New Roman" w:hAnsi="Times New Roman" w:cs="Times New Roman"/>
          <w:sz w:val="24"/>
          <w:szCs w:val="24"/>
        </w:rPr>
        <w:t>the inventory</w:t>
      </w:r>
      <w:r w:rsidR="00FF4499">
        <w:rPr>
          <w:rFonts w:ascii="Times New Roman" w:hAnsi="Times New Roman" w:cs="Times New Roman"/>
          <w:sz w:val="24"/>
          <w:szCs w:val="24"/>
        </w:rPr>
        <w:t xml:space="preserve"> owner </w:t>
      </w:r>
      <w:r>
        <w:rPr>
          <w:rFonts w:ascii="Times New Roman" w:hAnsi="Times New Roman" w:cs="Times New Roman"/>
          <w:sz w:val="24"/>
          <w:szCs w:val="24"/>
        </w:rPr>
        <w:t xml:space="preserve">had </w:t>
      </w:r>
      <w:r w:rsidR="00FF4499">
        <w:rPr>
          <w:rFonts w:ascii="Times New Roman" w:hAnsi="Times New Roman" w:cs="Times New Roman"/>
          <w:sz w:val="24"/>
          <w:szCs w:val="24"/>
        </w:rPr>
        <w:t xml:space="preserve">when he </w:t>
      </w:r>
      <w:r>
        <w:rPr>
          <w:rFonts w:ascii="Times New Roman" w:hAnsi="Times New Roman" w:cs="Times New Roman"/>
          <w:sz w:val="24"/>
          <w:szCs w:val="24"/>
        </w:rPr>
        <w:t>decided to transfer or give it out. The</w:t>
      </w:r>
      <w:r w:rsidR="00FF4499">
        <w:rPr>
          <w:rFonts w:ascii="Times New Roman" w:hAnsi="Times New Roman" w:cs="Times New Roman"/>
          <w:sz w:val="24"/>
          <w:szCs w:val="24"/>
        </w:rPr>
        <w:t xml:space="preserve"> U.S Internal Revenue Code section 102(b) (1) states that any income derived from a property received as a gift should not be excepted from the </w:t>
      </w:r>
      <w:r w:rsidR="00F640BC">
        <w:rPr>
          <w:rFonts w:ascii="Times New Roman" w:hAnsi="Times New Roman" w:cs="Times New Roman"/>
          <w:sz w:val="24"/>
          <w:szCs w:val="24"/>
        </w:rPr>
        <w:t>recipient’s</w:t>
      </w:r>
      <w:r w:rsidR="00FF4499">
        <w:rPr>
          <w:rFonts w:ascii="Times New Roman" w:hAnsi="Times New Roman" w:cs="Times New Roman"/>
          <w:sz w:val="24"/>
          <w:szCs w:val="24"/>
        </w:rPr>
        <w:t xml:space="preserve"> income tax. </w:t>
      </w:r>
      <w:r w:rsidR="00F640BC">
        <w:rPr>
          <w:rFonts w:ascii="Times New Roman" w:hAnsi="Times New Roman" w:cs="Times New Roman"/>
          <w:sz w:val="24"/>
          <w:szCs w:val="24"/>
        </w:rPr>
        <w:t>T</w:t>
      </w:r>
      <w:r w:rsidR="00997B3E">
        <w:rPr>
          <w:rFonts w:ascii="Times New Roman" w:hAnsi="Times New Roman" w:cs="Times New Roman"/>
          <w:sz w:val="24"/>
          <w:szCs w:val="24"/>
        </w:rPr>
        <w:t>hat means that the giver must not try to manipulate the provision</w:t>
      </w:r>
      <w:r w:rsidR="00954125">
        <w:rPr>
          <w:rFonts w:ascii="Times New Roman" w:hAnsi="Times New Roman" w:cs="Times New Roman"/>
          <w:sz w:val="24"/>
          <w:szCs w:val="24"/>
        </w:rPr>
        <w:t xml:space="preserve"> (</w:t>
      </w:r>
      <w:proofErr w:type="spellStart"/>
      <w:r w:rsidR="00F32C8D" w:rsidRPr="00F32C8D">
        <w:rPr>
          <w:rFonts w:ascii="Times New Roman" w:hAnsi="Times New Roman" w:cs="Times New Roman"/>
          <w:sz w:val="24"/>
          <w:szCs w:val="24"/>
        </w:rPr>
        <w:t>Hasen</w:t>
      </w:r>
      <w:proofErr w:type="spellEnd"/>
      <w:r w:rsidR="00F32C8D" w:rsidRPr="00F32C8D">
        <w:rPr>
          <w:rFonts w:ascii="Times New Roman" w:hAnsi="Times New Roman" w:cs="Times New Roman"/>
          <w:sz w:val="24"/>
          <w:szCs w:val="24"/>
        </w:rPr>
        <w:t>, 2018)</w:t>
      </w:r>
      <w:r w:rsidR="00954125">
        <w:rPr>
          <w:rFonts w:ascii="Times New Roman" w:hAnsi="Times New Roman" w:cs="Times New Roman"/>
          <w:sz w:val="24"/>
          <w:szCs w:val="24"/>
        </w:rPr>
        <w:t>.</w:t>
      </w:r>
      <w:r w:rsidR="00997B3E">
        <w:rPr>
          <w:rFonts w:ascii="Times New Roman" w:hAnsi="Times New Roman" w:cs="Times New Roman"/>
          <w:sz w:val="24"/>
          <w:szCs w:val="24"/>
        </w:rPr>
        <w:t xml:space="preserve"> The income tax must be included whether it is a gift or not. </w:t>
      </w:r>
    </w:p>
    <w:p w:rsidR="005B2447" w:rsidRDefault="005B2447">
      <w:pPr>
        <w:rPr>
          <w:rFonts w:ascii="Times New Roman" w:hAnsi="Times New Roman" w:cs="Times New Roman"/>
          <w:sz w:val="24"/>
          <w:szCs w:val="24"/>
        </w:rPr>
      </w:pPr>
    </w:p>
    <w:p w:rsidR="003543FD" w:rsidRPr="008C1A85" w:rsidRDefault="00196E6A" w:rsidP="003543FD">
      <w:pPr>
        <w:jc w:val="center"/>
        <w:rPr>
          <w:rFonts w:ascii="Times New Roman" w:hAnsi="Times New Roman" w:cs="Times New Roman"/>
          <w:b/>
          <w:sz w:val="24"/>
          <w:szCs w:val="24"/>
        </w:rPr>
      </w:pPr>
      <w:r>
        <w:rPr>
          <w:rFonts w:ascii="Times New Roman" w:hAnsi="Times New Roman" w:cs="Times New Roman"/>
          <w:b/>
          <w:sz w:val="24"/>
          <w:szCs w:val="24"/>
        </w:rPr>
        <w:t xml:space="preserve">Question Presented </w:t>
      </w:r>
    </w:p>
    <w:p w:rsidR="003543FD" w:rsidRPr="008C1A85" w:rsidRDefault="003543FD" w:rsidP="003543FD">
      <w:pPr>
        <w:jc w:val="center"/>
        <w:rPr>
          <w:rFonts w:ascii="Times New Roman" w:hAnsi="Times New Roman" w:cs="Times New Roman"/>
          <w:b/>
          <w:sz w:val="24"/>
          <w:szCs w:val="24"/>
        </w:rPr>
      </w:pPr>
      <w:r w:rsidRPr="008C1A85">
        <w:rPr>
          <w:rFonts w:ascii="Times New Roman" w:hAnsi="Times New Roman" w:cs="Times New Roman"/>
          <w:b/>
          <w:sz w:val="24"/>
          <w:szCs w:val="24"/>
        </w:rPr>
        <w:t>TAX FILE MEMORANDUM</w:t>
      </w:r>
    </w:p>
    <w:p w:rsidR="003543FD" w:rsidRPr="008C1A85" w:rsidRDefault="003543FD" w:rsidP="003543FD">
      <w:pPr>
        <w:rPr>
          <w:rFonts w:ascii="Times New Roman" w:hAnsi="Times New Roman" w:cs="Times New Roman"/>
          <w:sz w:val="24"/>
          <w:szCs w:val="24"/>
        </w:rPr>
      </w:pPr>
      <w:r w:rsidRPr="00172585">
        <w:rPr>
          <w:rFonts w:ascii="Times New Roman" w:hAnsi="Times New Roman" w:cs="Times New Roman"/>
          <w:b/>
          <w:sz w:val="24"/>
          <w:szCs w:val="24"/>
        </w:rPr>
        <w:t>DATE:</w:t>
      </w:r>
      <w:r w:rsidRPr="008C1A85">
        <w:rPr>
          <w:rFonts w:ascii="Times New Roman" w:hAnsi="Times New Roman" w:cs="Times New Roman"/>
          <w:sz w:val="24"/>
          <w:szCs w:val="24"/>
        </w:rPr>
        <w:t xml:space="preserve"> November 6, 2021</w:t>
      </w:r>
    </w:p>
    <w:p w:rsidR="003543FD" w:rsidRPr="008C1A85" w:rsidRDefault="003543FD" w:rsidP="003543FD">
      <w:pPr>
        <w:rPr>
          <w:rFonts w:ascii="Times New Roman" w:hAnsi="Times New Roman" w:cs="Times New Roman"/>
          <w:sz w:val="24"/>
          <w:szCs w:val="24"/>
        </w:rPr>
      </w:pPr>
      <w:r w:rsidRPr="00172585">
        <w:rPr>
          <w:rFonts w:ascii="Times New Roman" w:hAnsi="Times New Roman" w:cs="Times New Roman"/>
          <w:b/>
          <w:sz w:val="24"/>
          <w:szCs w:val="24"/>
        </w:rPr>
        <w:t>FROM:</w:t>
      </w:r>
      <w:r w:rsidRPr="008C1A85">
        <w:rPr>
          <w:rFonts w:ascii="Times New Roman" w:hAnsi="Times New Roman" w:cs="Times New Roman"/>
          <w:sz w:val="24"/>
          <w:szCs w:val="24"/>
        </w:rPr>
        <w:t xml:space="preserve"> </w:t>
      </w:r>
      <w:proofErr w:type="spellStart"/>
      <w:r w:rsidRPr="008C1A85">
        <w:rPr>
          <w:rFonts w:ascii="Times New Roman" w:hAnsi="Times New Roman" w:cs="Times New Roman"/>
          <w:sz w:val="24"/>
          <w:szCs w:val="24"/>
        </w:rPr>
        <w:t>xxxxx</w:t>
      </w:r>
      <w:proofErr w:type="spellEnd"/>
    </w:p>
    <w:p w:rsidR="003543FD" w:rsidRPr="008C1A85" w:rsidRDefault="003543FD" w:rsidP="003543FD">
      <w:pPr>
        <w:rPr>
          <w:rFonts w:ascii="Times New Roman" w:hAnsi="Times New Roman" w:cs="Times New Roman"/>
          <w:sz w:val="24"/>
          <w:szCs w:val="24"/>
        </w:rPr>
      </w:pPr>
      <w:r w:rsidRPr="008C1A85">
        <w:rPr>
          <w:rFonts w:ascii="Times New Roman" w:hAnsi="Times New Roman" w:cs="Times New Roman"/>
          <w:b/>
          <w:sz w:val="24"/>
          <w:szCs w:val="24"/>
        </w:rPr>
        <w:t>Subject:</w:t>
      </w:r>
      <w:r w:rsidRPr="008C1A85">
        <w:rPr>
          <w:rFonts w:ascii="Times New Roman" w:hAnsi="Times New Roman" w:cs="Times New Roman"/>
          <w:sz w:val="24"/>
          <w:szCs w:val="24"/>
        </w:rPr>
        <w:t xml:space="preserve"> IRS Audit of Kane Corporation’s </w:t>
      </w:r>
    </w:p>
    <w:p w:rsidR="003543FD" w:rsidRDefault="003543FD" w:rsidP="003543FD">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 xml:space="preserve">Today, I talked to Shelly regarding proper tax treatment of Kane Corporation’s transfer of its entire inventory (basis of 1.2 million) in a transaction described as a “sale” by both the parties. The sale price for the inventory was 2 million, which was based on fair market value and which Shelly was to pay at a future date. Unfortunately, the debt was not evidenced with a promissory note and until today Shelly has not made any payment. </w:t>
      </w:r>
    </w:p>
    <w:p w:rsidR="003543FD" w:rsidRPr="008C1A85" w:rsidRDefault="003543FD" w:rsidP="003543FD">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 xml:space="preserve">The other fact is that: </w:t>
      </w:r>
    </w:p>
    <w:p w:rsidR="003543FD" w:rsidRPr="008C1A85" w:rsidRDefault="003543FD" w:rsidP="003543FD">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 xml:space="preserve">After the inventory transfer, Kane ceased to operate and, therefore, did not liquidate as required by state law. Upon an audit of Kane’s tax return, IRS discovered that the inventory transfer constituted a liquidation of the corporation that resulted to $800,000 [$2 million (fair market value) - $1.2 million (inventory basis)]. Since Kane is devoid of assets, the IRS had no option than to assess the tax against Shelly, based on transferee liability. IRS also asserts that Shelly has a tax deficiency based on the gain she recognized on the purported liquidation. </w:t>
      </w:r>
    </w:p>
    <w:p w:rsidR="003543FD" w:rsidRPr="008C1A85" w:rsidRDefault="003543FD" w:rsidP="003543FD">
      <w:pPr>
        <w:ind w:firstLine="720"/>
        <w:rPr>
          <w:rFonts w:ascii="Times New Roman" w:hAnsi="Times New Roman" w:cs="Times New Roman"/>
          <w:b/>
          <w:sz w:val="24"/>
          <w:szCs w:val="24"/>
        </w:rPr>
      </w:pPr>
      <w:r w:rsidRPr="008C1A85">
        <w:rPr>
          <w:rFonts w:ascii="Times New Roman" w:hAnsi="Times New Roman" w:cs="Times New Roman"/>
          <w:b/>
          <w:sz w:val="24"/>
          <w:szCs w:val="24"/>
        </w:rPr>
        <w:t>Research Conclusion</w:t>
      </w:r>
    </w:p>
    <w:p w:rsidR="003543FD" w:rsidRPr="008C1A85" w:rsidRDefault="003543FD" w:rsidP="003543FD">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 xml:space="preserve">The best approach to help Shelly and determines whether or not IRS was correct in its determination, is first off to determine whether the inventory transfer really constituted a complete liquidation of Kane Corporation as required by Section §346 (complete liquidation) of the tax law. Kane did not have a formal plan stating its plan to liquidate including distributing the properties. I.R.C. §346(a) requires that a distribution be treated as incomplete liquidation of a </w:t>
      </w:r>
      <w:r w:rsidRPr="008C1A85">
        <w:rPr>
          <w:rFonts w:ascii="Times New Roman" w:hAnsi="Times New Roman" w:cs="Times New Roman"/>
          <w:sz w:val="24"/>
          <w:szCs w:val="24"/>
        </w:rPr>
        <w:lastRenderedPageBreak/>
        <w:t xml:space="preserve">corporation if it did not have an intent to liquidate or even does not explain how the distribution would play out, its effect on corporate or shareholders and determine tax consequences. Even though the corporation did not have a formal plan, agreeing to transfer the inventories is evident enough it had an intent to liquidate and, therefore, the transaction qualifies as a complete liquidation. Alternatively, if Shelly can prove that the corporation is still under the process of liquidation, then the transaction can be characterized or treated as a non-liquidating distribution and, thus, potentially a dividend under section §301. </w:t>
      </w:r>
    </w:p>
    <w:p w:rsidR="003543FD" w:rsidRPr="008C1A85" w:rsidRDefault="003543FD" w:rsidP="003543FD">
      <w:pPr>
        <w:pStyle w:val="ListParagraph"/>
        <w:numPr>
          <w:ilvl w:val="0"/>
          <w:numId w:val="11"/>
        </w:numPr>
        <w:rPr>
          <w:rFonts w:ascii="Times New Roman" w:hAnsi="Times New Roman" w:cs="Times New Roman"/>
          <w:b/>
          <w:sz w:val="24"/>
          <w:szCs w:val="24"/>
        </w:rPr>
      </w:pPr>
      <w:r w:rsidRPr="008C1A85">
        <w:rPr>
          <w:rFonts w:ascii="Times New Roman" w:hAnsi="Times New Roman" w:cs="Times New Roman"/>
          <w:b/>
          <w:sz w:val="24"/>
          <w:szCs w:val="24"/>
        </w:rPr>
        <w:t>Consequences to Shelly</w:t>
      </w:r>
    </w:p>
    <w:p w:rsidR="003543FD" w:rsidRPr="008C1A85" w:rsidRDefault="003543FD" w:rsidP="003543FD">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IRS is correct by asserting that the inventory transfer constituted a complete liquidation. Thus, under I.R.C §1001(a), the corporation would have realized $800,000 [$2 million (fair market value)] gain on the distributed inventory. Treating the transfer on the basis of transferee liability, Shelly is tax liable because she assumed the liability the moment the inventories were transferred to her. She would have a recognized gain of 1.6 million [$2 million (inventory value- $400,000 (stock basis)], reduced by the corporation’s tax liability on liquidation.</w:t>
      </w:r>
    </w:p>
    <w:p w:rsidR="003543FD" w:rsidRPr="008C1A85" w:rsidRDefault="003543FD" w:rsidP="003543FD">
      <w:pPr>
        <w:pStyle w:val="ListParagraph"/>
        <w:numPr>
          <w:ilvl w:val="0"/>
          <w:numId w:val="11"/>
        </w:numPr>
        <w:rPr>
          <w:rFonts w:ascii="Times New Roman" w:hAnsi="Times New Roman" w:cs="Times New Roman"/>
          <w:b/>
          <w:sz w:val="24"/>
          <w:szCs w:val="24"/>
        </w:rPr>
      </w:pPr>
      <w:r w:rsidRPr="008C1A85">
        <w:rPr>
          <w:rFonts w:ascii="Times New Roman" w:hAnsi="Times New Roman" w:cs="Times New Roman"/>
          <w:b/>
          <w:sz w:val="24"/>
          <w:szCs w:val="24"/>
        </w:rPr>
        <w:t>Consequences to the Corporation</w:t>
      </w:r>
    </w:p>
    <w:p w:rsidR="003543FD" w:rsidRPr="008C1A85" w:rsidRDefault="003543FD" w:rsidP="003543FD">
      <w:pPr>
        <w:spacing w:before="120" w:after="120" w:line="480" w:lineRule="auto"/>
        <w:ind w:firstLine="720"/>
        <w:rPr>
          <w:rFonts w:ascii="Times New Roman" w:hAnsi="Times New Roman" w:cs="Times New Roman"/>
          <w:sz w:val="24"/>
          <w:szCs w:val="24"/>
        </w:rPr>
      </w:pPr>
      <w:r w:rsidRPr="008C1A85">
        <w:rPr>
          <w:rFonts w:ascii="Times New Roman" w:hAnsi="Times New Roman" w:cs="Times New Roman"/>
          <w:sz w:val="24"/>
          <w:szCs w:val="24"/>
        </w:rPr>
        <w:t xml:space="preserve">The question to answer here is “how much gain or loss did the corporation realized and recognized?” Section I.R.C §336(a) states that gain or loss should be recognized as if such property were sold to the </w:t>
      </w:r>
      <w:proofErr w:type="spellStart"/>
      <w:r w:rsidRPr="008C1A85">
        <w:rPr>
          <w:rFonts w:ascii="Times New Roman" w:hAnsi="Times New Roman" w:cs="Times New Roman"/>
          <w:sz w:val="24"/>
          <w:szCs w:val="24"/>
        </w:rPr>
        <w:t>distributee</w:t>
      </w:r>
      <w:proofErr w:type="spellEnd"/>
      <w:r w:rsidRPr="008C1A85">
        <w:rPr>
          <w:rFonts w:ascii="Times New Roman" w:hAnsi="Times New Roman" w:cs="Times New Roman"/>
          <w:sz w:val="24"/>
          <w:szCs w:val="24"/>
        </w:rPr>
        <w:t xml:space="preserve"> at its fair market value”, unless the property distributed to the shareholder is subject to a liability. Based on this general rule, the corporation does not have any tax consequence because its liability was transferred to Shelly. </w:t>
      </w:r>
    </w:p>
    <w:p w:rsidR="008D1F60" w:rsidRDefault="008D1F60">
      <w:pPr>
        <w:rPr>
          <w:rFonts w:ascii="Times New Roman" w:hAnsi="Times New Roman" w:cs="Times New Roman"/>
          <w:b/>
          <w:sz w:val="24"/>
          <w:szCs w:val="24"/>
        </w:rPr>
      </w:pPr>
      <w:r>
        <w:rPr>
          <w:rFonts w:ascii="Times New Roman" w:hAnsi="Times New Roman" w:cs="Times New Roman"/>
          <w:b/>
          <w:sz w:val="24"/>
          <w:szCs w:val="24"/>
        </w:rPr>
        <w:br w:type="page"/>
      </w:r>
    </w:p>
    <w:p w:rsidR="00022E5D" w:rsidRPr="001D29BB" w:rsidRDefault="00022E5D" w:rsidP="00022E5D">
      <w:pPr>
        <w:jc w:val="center"/>
        <w:rPr>
          <w:rFonts w:ascii="Times New Roman" w:hAnsi="Times New Roman" w:cs="Times New Roman"/>
          <w:b/>
          <w:sz w:val="24"/>
          <w:szCs w:val="24"/>
        </w:rPr>
      </w:pPr>
      <w:r w:rsidRPr="001D29BB">
        <w:rPr>
          <w:rFonts w:ascii="Times New Roman" w:hAnsi="Times New Roman" w:cs="Times New Roman"/>
          <w:b/>
          <w:sz w:val="24"/>
          <w:szCs w:val="24"/>
        </w:rPr>
        <w:lastRenderedPageBreak/>
        <w:t>Part 3</w:t>
      </w:r>
    </w:p>
    <w:p w:rsidR="00022E5D" w:rsidRPr="001D29BB" w:rsidRDefault="00022E5D" w:rsidP="00022E5D">
      <w:pPr>
        <w:jc w:val="center"/>
        <w:rPr>
          <w:rFonts w:ascii="Times New Roman" w:hAnsi="Times New Roman" w:cs="Times New Roman"/>
          <w:b/>
          <w:sz w:val="24"/>
          <w:szCs w:val="24"/>
        </w:rPr>
      </w:pPr>
      <w:r>
        <w:rPr>
          <w:rFonts w:ascii="Times New Roman" w:hAnsi="Times New Roman" w:cs="Times New Roman"/>
          <w:b/>
          <w:sz w:val="24"/>
          <w:szCs w:val="24"/>
        </w:rPr>
        <w:t>Improper Accounting for Sales</w:t>
      </w:r>
    </w:p>
    <w:p w:rsidR="00022E5D" w:rsidRPr="001D29BB" w:rsidRDefault="00022E5D" w:rsidP="00022E5D">
      <w:pPr>
        <w:rPr>
          <w:rFonts w:ascii="Times New Roman" w:hAnsi="Times New Roman" w:cs="Times New Roman"/>
          <w:sz w:val="24"/>
          <w:szCs w:val="24"/>
        </w:rPr>
      </w:pPr>
      <w:r w:rsidRPr="001D29BB">
        <w:rPr>
          <w:rFonts w:ascii="Times New Roman" w:hAnsi="Times New Roman" w:cs="Times New Roman"/>
          <w:b/>
          <w:sz w:val="24"/>
          <w:szCs w:val="24"/>
        </w:rPr>
        <w:t>DATE:</w:t>
      </w:r>
      <w:r w:rsidRPr="001D29BB">
        <w:rPr>
          <w:rFonts w:ascii="Times New Roman" w:hAnsi="Times New Roman" w:cs="Times New Roman"/>
          <w:sz w:val="24"/>
          <w:szCs w:val="24"/>
        </w:rPr>
        <w:t xml:space="preserve"> November 6, 2021</w:t>
      </w:r>
    </w:p>
    <w:p w:rsidR="00022E5D" w:rsidRPr="001D29BB" w:rsidRDefault="00022E5D" w:rsidP="00022E5D">
      <w:pPr>
        <w:rPr>
          <w:rFonts w:ascii="Times New Roman" w:hAnsi="Times New Roman" w:cs="Times New Roman"/>
          <w:sz w:val="24"/>
          <w:szCs w:val="24"/>
        </w:rPr>
      </w:pPr>
      <w:r w:rsidRPr="001D29BB">
        <w:rPr>
          <w:rFonts w:ascii="Times New Roman" w:hAnsi="Times New Roman" w:cs="Times New Roman"/>
          <w:b/>
          <w:sz w:val="24"/>
          <w:szCs w:val="24"/>
        </w:rPr>
        <w:t>FROM:</w:t>
      </w:r>
      <w:r w:rsidRPr="001D29BB">
        <w:rPr>
          <w:rFonts w:ascii="Times New Roman" w:hAnsi="Times New Roman" w:cs="Times New Roman"/>
          <w:sz w:val="24"/>
          <w:szCs w:val="24"/>
        </w:rPr>
        <w:t xml:space="preserve"> </w:t>
      </w:r>
      <w:proofErr w:type="spellStart"/>
      <w:r w:rsidRPr="001D29BB">
        <w:rPr>
          <w:rFonts w:ascii="Times New Roman" w:hAnsi="Times New Roman" w:cs="Times New Roman"/>
          <w:sz w:val="24"/>
          <w:szCs w:val="24"/>
        </w:rPr>
        <w:t>xxxxx</w:t>
      </w:r>
      <w:proofErr w:type="spellEnd"/>
    </w:p>
    <w:p w:rsidR="00022E5D" w:rsidRPr="001D29BB" w:rsidRDefault="00022E5D" w:rsidP="00022E5D">
      <w:pPr>
        <w:rPr>
          <w:rFonts w:ascii="Times New Roman" w:hAnsi="Times New Roman" w:cs="Times New Roman"/>
          <w:sz w:val="24"/>
          <w:szCs w:val="24"/>
        </w:rPr>
      </w:pPr>
      <w:r w:rsidRPr="001D29BB">
        <w:rPr>
          <w:rFonts w:ascii="Times New Roman" w:hAnsi="Times New Roman" w:cs="Times New Roman"/>
          <w:b/>
          <w:sz w:val="24"/>
          <w:szCs w:val="24"/>
        </w:rPr>
        <w:t>Subject:</w:t>
      </w:r>
      <w:r w:rsidRPr="001D29BB">
        <w:rPr>
          <w:rFonts w:ascii="Times New Roman" w:hAnsi="Times New Roman" w:cs="Times New Roman"/>
          <w:sz w:val="24"/>
          <w:szCs w:val="24"/>
        </w:rPr>
        <w:t xml:space="preserve"> Improper Accounting of Sales</w:t>
      </w:r>
    </w:p>
    <w:p w:rsidR="00022E5D" w:rsidRPr="001D29BB" w:rsidRDefault="00022E5D" w:rsidP="00022E5D">
      <w:pPr>
        <w:spacing w:before="120" w:after="120" w:line="480" w:lineRule="auto"/>
        <w:ind w:firstLine="720"/>
        <w:rPr>
          <w:rFonts w:ascii="Times New Roman" w:hAnsi="Times New Roman" w:cs="Times New Roman"/>
          <w:sz w:val="24"/>
          <w:szCs w:val="24"/>
        </w:rPr>
      </w:pPr>
      <w:r w:rsidRPr="001D29BB">
        <w:rPr>
          <w:rFonts w:ascii="Times New Roman" w:hAnsi="Times New Roman" w:cs="Times New Roman"/>
          <w:sz w:val="24"/>
          <w:szCs w:val="24"/>
        </w:rPr>
        <w:t>Ethics is important in accounting. In its absence, financial statements cannot be correct. The fact that the production managers authorize staff purchases of goods manufactured by the company is a clear violation of the accounting principle that requires all productions and sales made be reflected in the financial statements, and their accounting done correctly." Failure to follow this principle should be treated as fraud committed by the production managers. Sarbanes Oxley Act requires top management to certify the responsibilities of the financial statements, including supervising the audit of reports and ensuring their accuracy (</w:t>
      </w:r>
      <w:r w:rsidRPr="001D29BB">
        <w:rPr>
          <w:rFonts w:ascii="Times New Roman" w:hAnsi="Times New Roman" w:cs="Times New Roman"/>
          <w:sz w:val="24"/>
          <w:szCs w:val="24"/>
          <w:shd w:val="clear" w:color="auto" w:fill="FFFFFF"/>
        </w:rPr>
        <w:t>Biden Jr, 2002).</w:t>
      </w:r>
      <w:r w:rsidRPr="001D29BB">
        <w:rPr>
          <w:rFonts w:ascii="Times New Roman" w:hAnsi="Times New Roman" w:cs="Times New Roman"/>
          <w:sz w:val="24"/>
          <w:szCs w:val="24"/>
        </w:rPr>
        <w:t xml:space="preserve"> Since the top management does not carry out this obligation, it exposes the organization to the risk of incurring hefty fines and imprisonment. </w:t>
      </w:r>
    </w:p>
    <w:p w:rsidR="00022E5D" w:rsidRPr="001D29BB" w:rsidRDefault="00022E5D" w:rsidP="00022E5D">
      <w:pPr>
        <w:spacing w:before="120" w:after="120" w:line="480" w:lineRule="auto"/>
        <w:ind w:firstLine="720"/>
        <w:rPr>
          <w:rFonts w:ascii="Times New Roman" w:hAnsi="Times New Roman" w:cs="Times New Roman"/>
          <w:sz w:val="24"/>
          <w:szCs w:val="24"/>
        </w:rPr>
      </w:pPr>
      <w:r w:rsidRPr="001D29BB">
        <w:rPr>
          <w:rFonts w:ascii="Times New Roman" w:hAnsi="Times New Roman" w:cs="Times New Roman"/>
          <w:sz w:val="24"/>
          <w:szCs w:val="24"/>
        </w:rPr>
        <w:t xml:space="preserve">Accordingly, all members of the accounting profession must adhere to the fundamental principles under professional ethics. According to Colquitt &amp; Salam (2009), an auditor must demonstrate some levels of integrity. Omitting income from staff sales in the financial statements and returns to the tax authority could be misleading. Such a practice exhibits dishonesty, and as an auditor, the practice should be reported to the relevant authorities should the company repeat the same mistake repeatedly. However, auditors should provide relevant advice to their clients and ensure that all accounting standards are followed. </w:t>
      </w:r>
    </w:p>
    <w:p w:rsidR="00022E5D" w:rsidRPr="001D29BB" w:rsidRDefault="00022E5D" w:rsidP="00022E5D">
      <w:pPr>
        <w:spacing w:before="120" w:after="120" w:line="480" w:lineRule="auto"/>
        <w:ind w:firstLine="720"/>
        <w:rPr>
          <w:rFonts w:ascii="Times New Roman" w:hAnsi="Times New Roman" w:cs="Times New Roman"/>
          <w:sz w:val="24"/>
          <w:szCs w:val="24"/>
        </w:rPr>
      </w:pPr>
      <w:r w:rsidRPr="001D29BB">
        <w:rPr>
          <w:rFonts w:ascii="Times New Roman" w:hAnsi="Times New Roman" w:cs="Times New Roman"/>
          <w:sz w:val="24"/>
          <w:szCs w:val="24"/>
        </w:rPr>
        <w:t xml:space="preserve">Regardless of the close relationship with the directors and staff of the company, I would consider being more objective by doing the right thing because that's what ethics is all about. Doing the right thing means observing all technical and professional standards, and especially </w:t>
      </w:r>
      <w:r w:rsidRPr="001D29BB">
        <w:rPr>
          <w:rFonts w:ascii="Times New Roman" w:hAnsi="Times New Roman" w:cs="Times New Roman"/>
          <w:sz w:val="24"/>
          <w:szCs w:val="24"/>
        </w:rPr>
        <w:lastRenderedPageBreak/>
        <w:t xml:space="preserve">the principles of accounting. It would be ethically wrong and unprofessional to ignore these principles by acting in favor of any party.   According to </w:t>
      </w:r>
      <w:proofErr w:type="spellStart"/>
      <w:r w:rsidRPr="001D29BB">
        <w:rPr>
          <w:rFonts w:ascii="Times New Roman" w:hAnsi="Times New Roman" w:cs="Times New Roman"/>
          <w:sz w:val="24"/>
          <w:szCs w:val="24"/>
        </w:rPr>
        <w:t>Fearnley</w:t>
      </w:r>
      <w:proofErr w:type="spellEnd"/>
      <w:r w:rsidRPr="001D29BB">
        <w:rPr>
          <w:rFonts w:ascii="Times New Roman" w:hAnsi="Times New Roman" w:cs="Times New Roman"/>
          <w:sz w:val="24"/>
          <w:szCs w:val="24"/>
        </w:rPr>
        <w:t xml:space="preserve"> et al. (2005),</w:t>
      </w:r>
      <w:r w:rsidRPr="001D29BB">
        <w:rPr>
          <w:rFonts w:ascii="Arial" w:hAnsi="Arial" w:cs="Arial"/>
          <w:sz w:val="20"/>
          <w:szCs w:val="20"/>
          <w:shd w:val="clear" w:color="auto" w:fill="FFFFFF"/>
        </w:rPr>
        <w:t xml:space="preserve"> </w:t>
      </w:r>
      <w:r w:rsidRPr="001D29BB">
        <w:rPr>
          <w:rFonts w:ascii="Times New Roman" w:hAnsi="Times New Roman" w:cs="Times New Roman"/>
          <w:sz w:val="24"/>
          <w:szCs w:val="24"/>
        </w:rPr>
        <w:t xml:space="preserve">objectivity means being detached or independent from the company, given that our first obligation should be professionalism. The greatest asset of an auditing firm is its reputation, and, therefore, maintaining a good reputation is key. I would also ensure that I'm competent in terms of how I perform tasks and, most importantly, be careful and behave professionally. That means complying with the rules and regulations and not engaging in any activity that would harm my profession's reputation or that of the audit firm. Competence delivers results in terms of providing accurate and appropriate advice to the client. </w:t>
      </w:r>
    </w:p>
    <w:p w:rsidR="00022E5D" w:rsidRPr="001D29BB" w:rsidRDefault="00022E5D" w:rsidP="00022E5D">
      <w:pPr>
        <w:rPr>
          <w:rFonts w:ascii="Times New Roman" w:hAnsi="Times New Roman" w:cs="Times New Roman"/>
          <w:sz w:val="24"/>
          <w:szCs w:val="24"/>
        </w:rPr>
      </w:pPr>
      <w:r w:rsidRPr="001D29BB">
        <w:rPr>
          <w:rFonts w:ascii="Times New Roman" w:hAnsi="Times New Roman" w:cs="Times New Roman"/>
          <w:sz w:val="24"/>
          <w:szCs w:val="24"/>
        </w:rPr>
        <w:br w:type="page"/>
      </w:r>
    </w:p>
    <w:p w:rsidR="00022E5D" w:rsidRPr="001D29BB" w:rsidRDefault="00022E5D" w:rsidP="00022E5D">
      <w:pPr>
        <w:spacing w:before="120" w:after="120" w:line="480" w:lineRule="auto"/>
        <w:jc w:val="center"/>
        <w:rPr>
          <w:rFonts w:ascii="Times New Roman" w:hAnsi="Times New Roman" w:cs="Times New Roman"/>
          <w:b/>
          <w:sz w:val="24"/>
          <w:szCs w:val="24"/>
        </w:rPr>
      </w:pPr>
      <w:r w:rsidRPr="001D29BB">
        <w:rPr>
          <w:rFonts w:ascii="Times New Roman" w:hAnsi="Times New Roman" w:cs="Times New Roman"/>
          <w:b/>
          <w:sz w:val="24"/>
          <w:szCs w:val="24"/>
        </w:rPr>
        <w:lastRenderedPageBreak/>
        <w:t>References</w:t>
      </w:r>
    </w:p>
    <w:p w:rsidR="00721954" w:rsidRDefault="00721954" w:rsidP="00721954">
      <w:pPr>
        <w:spacing w:before="120" w:after="12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Cornell Law School (2021). </w:t>
      </w:r>
      <w:r w:rsidRPr="00101874">
        <w:rPr>
          <w:rFonts w:ascii="Times New Roman" w:hAnsi="Times New Roman" w:cs="Times New Roman"/>
          <w:sz w:val="24"/>
          <w:szCs w:val="24"/>
        </w:rPr>
        <w:t>The U.S federal code §26 US code 132</w:t>
      </w:r>
      <w:r>
        <w:rPr>
          <w:rFonts w:ascii="Times New Roman" w:hAnsi="Times New Roman" w:cs="Times New Roman"/>
          <w:sz w:val="24"/>
          <w:szCs w:val="24"/>
        </w:rPr>
        <w:t xml:space="preserve"> – Certain Fringe Benefits. Retrieved from </w:t>
      </w:r>
      <w:hyperlink r:id="rId11" w:history="1">
        <w:r w:rsidRPr="003C662A">
          <w:rPr>
            <w:rStyle w:val="Hyperlink"/>
            <w:rFonts w:ascii="Times New Roman" w:hAnsi="Times New Roman" w:cs="Times New Roman"/>
            <w:sz w:val="24"/>
            <w:szCs w:val="24"/>
          </w:rPr>
          <w:t>https://www.law.cornell.edu/uscode/text/26/132</w:t>
        </w:r>
      </w:hyperlink>
    </w:p>
    <w:p w:rsidR="00721954" w:rsidRPr="00721954" w:rsidRDefault="00721954" w:rsidP="00721954">
      <w:pPr>
        <w:spacing w:before="120" w:after="120" w:line="480" w:lineRule="auto"/>
        <w:ind w:left="720" w:hanging="720"/>
        <w:jc w:val="both"/>
        <w:rPr>
          <w:rFonts w:ascii="Times New Roman" w:hAnsi="Times New Roman" w:cs="Times New Roman"/>
          <w:color w:val="0563C1" w:themeColor="hyperlink"/>
          <w:sz w:val="24"/>
          <w:szCs w:val="24"/>
          <w:u w:val="single"/>
        </w:rPr>
      </w:pPr>
      <w:proofErr w:type="spellStart"/>
      <w:r w:rsidRPr="00F32C8D">
        <w:rPr>
          <w:rFonts w:ascii="Times New Roman" w:hAnsi="Times New Roman" w:cs="Times New Roman"/>
          <w:sz w:val="24"/>
          <w:szCs w:val="24"/>
        </w:rPr>
        <w:t>Hasen</w:t>
      </w:r>
      <w:proofErr w:type="spellEnd"/>
      <w:r w:rsidRPr="00F32C8D">
        <w:rPr>
          <w:rFonts w:ascii="Times New Roman" w:hAnsi="Times New Roman" w:cs="Times New Roman"/>
          <w:color w:val="222222"/>
          <w:sz w:val="24"/>
          <w:szCs w:val="24"/>
          <w:shd w:val="clear" w:color="auto" w:fill="FFFFFF"/>
        </w:rPr>
        <w:t>, D. (2018). How Should Gifts Be Treated under the Federal Income Tax. </w:t>
      </w:r>
      <w:r w:rsidRPr="00F32C8D">
        <w:rPr>
          <w:rFonts w:ascii="Times New Roman" w:hAnsi="Times New Roman" w:cs="Times New Roman"/>
          <w:i/>
          <w:iCs/>
          <w:color w:val="222222"/>
          <w:sz w:val="24"/>
          <w:szCs w:val="24"/>
          <w:shd w:val="clear" w:color="auto" w:fill="FFFFFF"/>
        </w:rPr>
        <w:t>Mich. St. L. Rev.</w:t>
      </w:r>
      <w:r w:rsidRPr="00F32C8D">
        <w:rPr>
          <w:rFonts w:ascii="Times New Roman" w:hAnsi="Times New Roman" w:cs="Times New Roman"/>
          <w:color w:val="222222"/>
          <w:sz w:val="24"/>
          <w:szCs w:val="24"/>
          <w:shd w:val="clear" w:color="auto" w:fill="FFFFFF"/>
        </w:rPr>
        <w:t>, 81.</w:t>
      </w:r>
      <w:bookmarkStart w:id="0" w:name="_GoBack"/>
      <w:bookmarkEnd w:id="0"/>
    </w:p>
    <w:p w:rsidR="00022E5D" w:rsidRPr="001D29BB" w:rsidRDefault="00022E5D" w:rsidP="00022E5D">
      <w:pPr>
        <w:spacing w:before="120" w:after="120" w:line="480" w:lineRule="auto"/>
        <w:ind w:left="720" w:hanging="720"/>
        <w:rPr>
          <w:rFonts w:ascii="Times New Roman" w:hAnsi="Times New Roman" w:cs="Times New Roman"/>
          <w:sz w:val="24"/>
          <w:szCs w:val="24"/>
          <w:shd w:val="clear" w:color="auto" w:fill="FFFFFF"/>
        </w:rPr>
      </w:pPr>
      <w:r w:rsidRPr="001D29BB">
        <w:rPr>
          <w:rFonts w:ascii="Times New Roman" w:hAnsi="Times New Roman" w:cs="Times New Roman"/>
          <w:sz w:val="24"/>
          <w:szCs w:val="24"/>
          <w:shd w:val="clear" w:color="auto" w:fill="FFFFFF"/>
        </w:rPr>
        <w:t>Biden Jr, J. R. (2002). Certifying Statements under Section 906 of Sarbanes-Oxley Act: Holding Corporate Executives Accountable for the Accuracy of Corporate Financial Statements. </w:t>
      </w:r>
      <w:r w:rsidRPr="001D29BB">
        <w:rPr>
          <w:rFonts w:ascii="Times New Roman" w:hAnsi="Times New Roman" w:cs="Times New Roman"/>
          <w:i/>
          <w:iCs/>
          <w:sz w:val="24"/>
          <w:szCs w:val="24"/>
          <w:shd w:val="clear" w:color="auto" w:fill="FFFFFF"/>
        </w:rPr>
        <w:t>Fed. Sent. R.</w:t>
      </w:r>
      <w:r w:rsidRPr="001D29BB">
        <w:rPr>
          <w:rFonts w:ascii="Times New Roman" w:hAnsi="Times New Roman" w:cs="Times New Roman"/>
          <w:sz w:val="24"/>
          <w:szCs w:val="24"/>
          <w:shd w:val="clear" w:color="auto" w:fill="FFFFFF"/>
        </w:rPr>
        <w:t>, </w:t>
      </w:r>
      <w:r w:rsidRPr="001D29BB">
        <w:rPr>
          <w:rFonts w:ascii="Times New Roman" w:hAnsi="Times New Roman" w:cs="Times New Roman"/>
          <w:i/>
          <w:iCs/>
          <w:sz w:val="24"/>
          <w:szCs w:val="24"/>
          <w:shd w:val="clear" w:color="auto" w:fill="FFFFFF"/>
        </w:rPr>
        <w:t>15</w:t>
      </w:r>
      <w:r w:rsidRPr="001D29BB">
        <w:rPr>
          <w:rFonts w:ascii="Times New Roman" w:hAnsi="Times New Roman" w:cs="Times New Roman"/>
          <w:sz w:val="24"/>
          <w:szCs w:val="24"/>
          <w:shd w:val="clear" w:color="auto" w:fill="FFFFFF"/>
        </w:rPr>
        <w:t>, 257.</w:t>
      </w:r>
    </w:p>
    <w:p w:rsidR="00022E5D" w:rsidRPr="001D29BB" w:rsidRDefault="00022E5D" w:rsidP="00022E5D">
      <w:pPr>
        <w:spacing w:before="120" w:after="120" w:line="480" w:lineRule="auto"/>
        <w:ind w:left="720" w:hanging="720"/>
        <w:rPr>
          <w:rFonts w:ascii="Times New Roman" w:hAnsi="Times New Roman" w:cs="Times New Roman"/>
          <w:sz w:val="24"/>
          <w:szCs w:val="24"/>
          <w:shd w:val="clear" w:color="auto" w:fill="FFFFFF"/>
        </w:rPr>
      </w:pPr>
      <w:r w:rsidRPr="001D29BB">
        <w:rPr>
          <w:rFonts w:ascii="Times New Roman" w:hAnsi="Times New Roman" w:cs="Times New Roman"/>
          <w:sz w:val="24"/>
          <w:szCs w:val="24"/>
          <w:shd w:val="clear" w:color="auto" w:fill="FFFFFF"/>
        </w:rPr>
        <w:t>Colquitt, J. A., &amp; Salam, S. C. (2009). Foster trust through ability, benevolence, and integrity. </w:t>
      </w:r>
      <w:r w:rsidRPr="001D29BB">
        <w:rPr>
          <w:rFonts w:ascii="Times New Roman" w:hAnsi="Times New Roman" w:cs="Times New Roman"/>
          <w:i/>
          <w:iCs/>
          <w:sz w:val="24"/>
          <w:szCs w:val="24"/>
          <w:shd w:val="clear" w:color="auto" w:fill="FFFFFF"/>
        </w:rPr>
        <w:t>Handbook of principles of organizational behavior: Indispensable knowledge for evidence-based management</w:t>
      </w:r>
      <w:r w:rsidRPr="001D29BB">
        <w:rPr>
          <w:rFonts w:ascii="Times New Roman" w:hAnsi="Times New Roman" w:cs="Times New Roman"/>
          <w:sz w:val="24"/>
          <w:szCs w:val="24"/>
          <w:shd w:val="clear" w:color="auto" w:fill="FFFFFF"/>
        </w:rPr>
        <w:t>, 389-404.</w:t>
      </w:r>
    </w:p>
    <w:p w:rsidR="00022E5D" w:rsidRDefault="00022E5D" w:rsidP="00022E5D">
      <w:pPr>
        <w:spacing w:before="120" w:after="120" w:line="480" w:lineRule="auto"/>
        <w:ind w:left="720" w:hanging="720"/>
        <w:rPr>
          <w:rFonts w:ascii="Times New Roman" w:hAnsi="Times New Roman" w:cs="Times New Roman"/>
          <w:sz w:val="24"/>
          <w:szCs w:val="24"/>
          <w:shd w:val="clear" w:color="auto" w:fill="FFFFFF"/>
        </w:rPr>
      </w:pPr>
      <w:proofErr w:type="spellStart"/>
      <w:r w:rsidRPr="001D29BB">
        <w:rPr>
          <w:rFonts w:ascii="Times New Roman" w:hAnsi="Times New Roman" w:cs="Times New Roman"/>
          <w:sz w:val="24"/>
          <w:szCs w:val="24"/>
          <w:shd w:val="clear" w:color="auto" w:fill="FFFFFF"/>
        </w:rPr>
        <w:t>Fearnley</w:t>
      </w:r>
      <w:proofErr w:type="spellEnd"/>
      <w:r w:rsidRPr="001D29BB">
        <w:rPr>
          <w:rFonts w:ascii="Times New Roman" w:hAnsi="Times New Roman" w:cs="Times New Roman"/>
          <w:sz w:val="24"/>
          <w:szCs w:val="24"/>
          <w:shd w:val="clear" w:color="auto" w:fill="FFFFFF"/>
        </w:rPr>
        <w:t>, S., Beattie, V. A., &amp; Brandt, R. (2005). Auditor independence and audit risk: A reconceptualization. </w:t>
      </w:r>
      <w:r w:rsidRPr="001D29BB">
        <w:rPr>
          <w:rFonts w:ascii="Times New Roman" w:hAnsi="Times New Roman" w:cs="Times New Roman"/>
          <w:i/>
          <w:iCs/>
          <w:sz w:val="24"/>
          <w:szCs w:val="24"/>
          <w:shd w:val="clear" w:color="auto" w:fill="FFFFFF"/>
        </w:rPr>
        <w:t>Journal of International Accounting Research</w:t>
      </w:r>
      <w:r w:rsidRPr="001D29BB">
        <w:rPr>
          <w:rFonts w:ascii="Times New Roman" w:hAnsi="Times New Roman" w:cs="Times New Roman"/>
          <w:sz w:val="24"/>
          <w:szCs w:val="24"/>
          <w:shd w:val="clear" w:color="auto" w:fill="FFFFFF"/>
        </w:rPr>
        <w:t>, </w:t>
      </w:r>
      <w:r w:rsidRPr="001D29BB">
        <w:rPr>
          <w:rFonts w:ascii="Times New Roman" w:hAnsi="Times New Roman" w:cs="Times New Roman"/>
          <w:i/>
          <w:iCs/>
          <w:sz w:val="24"/>
          <w:szCs w:val="24"/>
          <w:shd w:val="clear" w:color="auto" w:fill="FFFFFF"/>
        </w:rPr>
        <w:t>4</w:t>
      </w:r>
      <w:r w:rsidRPr="001D29BB">
        <w:rPr>
          <w:rFonts w:ascii="Times New Roman" w:hAnsi="Times New Roman" w:cs="Times New Roman"/>
          <w:sz w:val="24"/>
          <w:szCs w:val="24"/>
          <w:shd w:val="clear" w:color="auto" w:fill="FFFFFF"/>
        </w:rPr>
        <w:t>(1), 39-71.</w:t>
      </w:r>
    </w:p>
    <w:p w:rsidR="00FF3C2C" w:rsidRPr="005B2447" w:rsidRDefault="00FF3C2C" w:rsidP="00FF3C2C">
      <w:pPr>
        <w:jc w:val="center"/>
        <w:rPr>
          <w:rFonts w:ascii="Times New Roman" w:hAnsi="Times New Roman" w:cs="Times New Roman"/>
          <w:b/>
          <w:sz w:val="24"/>
          <w:szCs w:val="24"/>
        </w:rPr>
      </w:pPr>
    </w:p>
    <w:p w:rsidR="00FF3C2C" w:rsidRPr="001D29BB" w:rsidRDefault="00FF3C2C" w:rsidP="00022E5D">
      <w:pPr>
        <w:spacing w:before="120" w:after="120" w:line="480" w:lineRule="auto"/>
        <w:ind w:left="720" w:hanging="720"/>
        <w:rPr>
          <w:rFonts w:ascii="Times New Roman" w:hAnsi="Times New Roman" w:cs="Times New Roman"/>
          <w:sz w:val="24"/>
          <w:szCs w:val="24"/>
        </w:rPr>
      </w:pPr>
    </w:p>
    <w:p w:rsidR="003543FD" w:rsidRDefault="003543FD" w:rsidP="003543FD"/>
    <w:p w:rsidR="00196E6A" w:rsidRDefault="00196E6A" w:rsidP="00B206C9">
      <w:pPr>
        <w:rPr>
          <w:rFonts w:ascii="Times New Roman" w:hAnsi="Times New Roman" w:cs="Times New Roman"/>
          <w:b/>
          <w:sz w:val="24"/>
          <w:szCs w:val="24"/>
        </w:rPr>
      </w:pPr>
    </w:p>
    <w:p w:rsidR="008720A5" w:rsidRPr="00196E6A" w:rsidRDefault="008720A5" w:rsidP="00FF3C2C">
      <w:pPr>
        <w:rPr>
          <w:rFonts w:ascii="Times New Roman" w:hAnsi="Times New Roman" w:cs="Times New Roman"/>
          <w:sz w:val="24"/>
          <w:szCs w:val="24"/>
        </w:rPr>
      </w:pPr>
    </w:p>
    <w:sectPr w:rsidR="008720A5" w:rsidRPr="00196E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074E4"/>
    <w:multiLevelType w:val="hybridMultilevel"/>
    <w:tmpl w:val="31FCE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40BFA"/>
    <w:multiLevelType w:val="hybridMultilevel"/>
    <w:tmpl w:val="6F98B6A6"/>
    <w:styleLink w:val="ImportedStyle2"/>
    <w:lvl w:ilvl="0" w:tplc="B268F7A8">
      <w:start w:val="1"/>
      <w:numFmt w:val="decimal"/>
      <w:lvlText w:val="%1."/>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8E98F8F2">
      <w:start w:val="1"/>
      <w:numFmt w:val="decimal"/>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DEA88712">
      <w:start w:val="1"/>
      <w:numFmt w:val="lowerRoman"/>
      <w:lvlText w:val="%3."/>
      <w:lvlJc w:val="left"/>
      <w:pPr>
        <w:tabs>
          <w:tab w:val="left" w:pos="1440"/>
        </w:tabs>
        <w:ind w:left="2160" w:hanging="302"/>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3804769A">
      <w:start w:val="1"/>
      <w:numFmt w:val="decimal"/>
      <w:lvlText w:val="%4."/>
      <w:lvlJc w:val="left"/>
      <w:pPr>
        <w:tabs>
          <w:tab w:val="left" w:pos="1440"/>
        </w:tabs>
        <w:ind w:left="288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95426DBE">
      <w:start w:val="1"/>
      <w:numFmt w:val="lowerLetter"/>
      <w:lvlText w:val="%5."/>
      <w:lvlJc w:val="left"/>
      <w:pPr>
        <w:tabs>
          <w:tab w:val="left" w:pos="1440"/>
        </w:tabs>
        <w:ind w:left="360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977E22A8">
      <w:start w:val="1"/>
      <w:numFmt w:val="lowerRoman"/>
      <w:lvlText w:val="%6."/>
      <w:lvlJc w:val="left"/>
      <w:pPr>
        <w:tabs>
          <w:tab w:val="left" w:pos="1440"/>
        </w:tabs>
        <w:ind w:left="4320" w:hanging="302"/>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C8C22D1A">
      <w:start w:val="1"/>
      <w:numFmt w:val="decimal"/>
      <w:lvlText w:val="%7."/>
      <w:lvlJc w:val="left"/>
      <w:pPr>
        <w:tabs>
          <w:tab w:val="left" w:pos="1440"/>
        </w:tabs>
        <w:ind w:left="504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ABCC5728">
      <w:start w:val="1"/>
      <w:numFmt w:val="lowerLetter"/>
      <w:lvlText w:val="%8."/>
      <w:lvlJc w:val="left"/>
      <w:pPr>
        <w:tabs>
          <w:tab w:val="left" w:pos="1440"/>
        </w:tabs>
        <w:ind w:left="576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EAEAAFB0">
      <w:start w:val="1"/>
      <w:numFmt w:val="lowerRoman"/>
      <w:lvlText w:val="%9."/>
      <w:lvlJc w:val="left"/>
      <w:pPr>
        <w:tabs>
          <w:tab w:val="left" w:pos="1440"/>
        </w:tabs>
        <w:ind w:left="6480" w:hanging="302"/>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1B6C43F8"/>
    <w:multiLevelType w:val="hybridMultilevel"/>
    <w:tmpl w:val="92AAFD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964F25"/>
    <w:multiLevelType w:val="hybridMultilevel"/>
    <w:tmpl w:val="6F98B6A6"/>
    <w:lvl w:ilvl="0" w:tplc="B84CF594">
      <w:start w:val="1"/>
      <w:numFmt w:val="decimal"/>
      <w:lvlText w:val="%1."/>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C0284024">
      <w:start w:val="1"/>
      <w:numFmt w:val="decimal"/>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75ECEB0">
      <w:start w:val="1"/>
      <w:numFmt w:val="lowerRoman"/>
      <w:lvlText w:val="%3."/>
      <w:lvlJc w:val="left"/>
      <w:pPr>
        <w:tabs>
          <w:tab w:val="left" w:pos="1440"/>
        </w:tabs>
        <w:ind w:left="2160" w:hanging="302"/>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E703A6E">
      <w:start w:val="1"/>
      <w:numFmt w:val="decimal"/>
      <w:lvlText w:val="%4."/>
      <w:lvlJc w:val="left"/>
      <w:pPr>
        <w:tabs>
          <w:tab w:val="left" w:pos="1440"/>
        </w:tabs>
        <w:ind w:left="288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00B20CF2">
      <w:start w:val="1"/>
      <w:numFmt w:val="lowerLetter"/>
      <w:lvlText w:val="%5."/>
      <w:lvlJc w:val="left"/>
      <w:pPr>
        <w:tabs>
          <w:tab w:val="left" w:pos="1440"/>
        </w:tabs>
        <w:ind w:left="360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F00A62AE">
      <w:start w:val="1"/>
      <w:numFmt w:val="lowerRoman"/>
      <w:lvlText w:val="%6."/>
      <w:lvlJc w:val="left"/>
      <w:pPr>
        <w:tabs>
          <w:tab w:val="left" w:pos="1440"/>
        </w:tabs>
        <w:ind w:left="4320" w:hanging="302"/>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054A41C4">
      <w:start w:val="1"/>
      <w:numFmt w:val="decimal"/>
      <w:lvlText w:val="%7."/>
      <w:lvlJc w:val="left"/>
      <w:pPr>
        <w:tabs>
          <w:tab w:val="left" w:pos="1440"/>
        </w:tabs>
        <w:ind w:left="504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8EB06D54">
      <w:start w:val="1"/>
      <w:numFmt w:val="lowerLetter"/>
      <w:lvlText w:val="%8."/>
      <w:lvlJc w:val="left"/>
      <w:pPr>
        <w:tabs>
          <w:tab w:val="left" w:pos="1440"/>
        </w:tabs>
        <w:ind w:left="576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6020C02">
      <w:start w:val="1"/>
      <w:numFmt w:val="lowerRoman"/>
      <w:lvlText w:val="%9."/>
      <w:lvlJc w:val="left"/>
      <w:pPr>
        <w:tabs>
          <w:tab w:val="left" w:pos="1440"/>
        </w:tabs>
        <w:ind w:left="6480" w:hanging="302"/>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 w15:restartNumberingAfterBreak="0">
    <w:nsid w:val="40F83518"/>
    <w:multiLevelType w:val="hybridMultilevel"/>
    <w:tmpl w:val="6876FA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817850"/>
    <w:multiLevelType w:val="hybridMultilevel"/>
    <w:tmpl w:val="6F98B6A6"/>
    <w:numStyleLink w:val="ImportedStyle2"/>
  </w:abstractNum>
  <w:abstractNum w:abstractNumId="6" w15:restartNumberingAfterBreak="0">
    <w:nsid w:val="617C0C0E"/>
    <w:multiLevelType w:val="hybridMultilevel"/>
    <w:tmpl w:val="5D9810C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3A62D42"/>
    <w:multiLevelType w:val="hybridMultilevel"/>
    <w:tmpl w:val="A16AEF32"/>
    <w:lvl w:ilvl="0" w:tplc="E2CC64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CB90D8D"/>
    <w:multiLevelType w:val="hybridMultilevel"/>
    <w:tmpl w:val="1AF454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D2534"/>
    <w:multiLevelType w:val="hybridMultilevel"/>
    <w:tmpl w:val="D50E1A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num>
  <w:num w:numId="6">
    <w:abstractNumId w:val="3"/>
  </w:num>
  <w:num w:numId="7">
    <w:abstractNumId w:val="0"/>
  </w:num>
  <w:num w:numId="8">
    <w:abstractNumId w:val="2"/>
  </w:num>
  <w:num w:numId="9">
    <w:abstractNumId w:val="7"/>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C4A"/>
    <w:rsid w:val="00005DB7"/>
    <w:rsid w:val="000111E5"/>
    <w:rsid w:val="00022E5D"/>
    <w:rsid w:val="0006138A"/>
    <w:rsid w:val="00101874"/>
    <w:rsid w:val="00101D91"/>
    <w:rsid w:val="00142294"/>
    <w:rsid w:val="001843E5"/>
    <w:rsid w:val="00196E6A"/>
    <w:rsid w:val="001B3BC9"/>
    <w:rsid w:val="001B6257"/>
    <w:rsid w:val="002C5D5A"/>
    <w:rsid w:val="003146D2"/>
    <w:rsid w:val="00321F02"/>
    <w:rsid w:val="00336F6B"/>
    <w:rsid w:val="003543FD"/>
    <w:rsid w:val="00366FF4"/>
    <w:rsid w:val="004234BA"/>
    <w:rsid w:val="0043725B"/>
    <w:rsid w:val="004A0E53"/>
    <w:rsid w:val="004D4831"/>
    <w:rsid w:val="004D6473"/>
    <w:rsid w:val="005600C9"/>
    <w:rsid w:val="005812BF"/>
    <w:rsid w:val="005A3FB2"/>
    <w:rsid w:val="005B2447"/>
    <w:rsid w:val="005D55A4"/>
    <w:rsid w:val="006232D2"/>
    <w:rsid w:val="00637432"/>
    <w:rsid w:val="006631F2"/>
    <w:rsid w:val="006B0618"/>
    <w:rsid w:val="00721954"/>
    <w:rsid w:val="0074013F"/>
    <w:rsid w:val="007C09D0"/>
    <w:rsid w:val="00811645"/>
    <w:rsid w:val="008720A5"/>
    <w:rsid w:val="008A6BE6"/>
    <w:rsid w:val="008C221B"/>
    <w:rsid w:val="008D1F60"/>
    <w:rsid w:val="008E736E"/>
    <w:rsid w:val="00954125"/>
    <w:rsid w:val="00966409"/>
    <w:rsid w:val="009668CB"/>
    <w:rsid w:val="00983151"/>
    <w:rsid w:val="00997B3E"/>
    <w:rsid w:val="009C5F24"/>
    <w:rsid w:val="009F6752"/>
    <w:rsid w:val="009F7C4A"/>
    <w:rsid w:val="00A111C4"/>
    <w:rsid w:val="00A27F1F"/>
    <w:rsid w:val="00A70BEB"/>
    <w:rsid w:val="00B127DD"/>
    <w:rsid w:val="00B206C9"/>
    <w:rsid w:val="00B60EB3"/>
    <w:rsid w:val="00BD146C"/>
    <w:rsid w:val="00C26FBF"/>
    <w:rsid w:val="00C61833"/>
    <w:rsid w:val="00CC465A"/>
    <w:rsid w:val="00D01848"/>
    <w:rsid w:val="00D45028"/>
    <w:rsid w:val="00D91EEB"/>
    <w:rsid w:val="00F32C8D"/>
    <w:rsid w:val="00F33C1B"/>
    <w:rsid w:val="00F640BC"/>
    <w:rsid w:val="00FF3C2C"/>
    <w:rsid w:val="00FF4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F35F4"/>
  <w15:chartTrackingRefBased/>
  <w15:docId w15:val="{845145BA-B7C0-45F0-A40B-383CE8971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C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C4A"/>
    <w:pPr>
      <w:ind w:left="720"/>
      <w:contextualSpacing/>
    </w:pPr>
  </w:style>
  <w:style w:type="paragraph" w:styleId="NormalWeb">
    <w:name w:val="Normal (Web)"/>
    <w:semiHidden/>
    <w:unhideWhenUsed/>
    <w:rsid w:val="00C61833"/>
    <w:pPr>
      <w:spacing w:before="100" w:after="100" w:line="240" w:lineRule="auto"/>
    </w:pPr>
    <w:rPr>
      <w:rFonts w:ascii="Times New Roman" w:eastAsia="Times New Roman" w:hAnsi="Times New Roman" w:cs="Times New Roman"/>
      <w:color w:val="000000"/>
      <w:sz w:val="24"/>
      <w:szCs w:val="24"/>
      <w:u w:color="000000"/>
    </w:rPr>
  </w:style>
  <w:style w:type="numbering" w:customStyle="1" w:styleId="ImportedStyle2">
    <w:name w:val="Imported Style 2"/>
    <w:rsid w:val="00C61833"/>
    <w:pPr>
      <w:numPr>
        <w:numId w:val="4"/>
      </w:numPr>
    </w:pPr>
  </w:style>
  <w:style w:type="character" w:styleId="Hyperlink">
    <w:name w:val="Hyperlink"/>
    <w:basedOn w:val="DefaultParagraphFont"/>
    <w:uiPriority w:val="99"/>
    <w:unhideWhenUsed/>
    <w:rsid w:val="00D91E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97509">
      <w:bodyDiv w:val="1"/>
      <w:marLeft w:val="0"/>
      <w:marRight w:val="0"/>
      <w:marTop w:val="0"/>
      <w:marBottom w:val="0"/>
      <w:divBdr>
        <w:top w:val="none" w:sz="0" w:space="0" w:color="auto"/>
        <w:left w:val="none" w:sz="0" w:space="0" w:color="auto"/>
        <w:bottom w:val="none" w:sz="0" w:space="0" w:color="auto"/>
        <w:right w:val="none" w:sz="0" w:space="0" w:color="auto"/>
      </w:divBdr>
    </w:div>
    <w:div w:id="284122769">
      <w:bodyDiv w:val="1"/>
      <w:marLeft w:val="0"/>
      <w:marRight w:val="0"/>
      <w:marTop w:val="0"/>
      <w:marBottom w:val="0"/>
      <w:divBdr>
        <w:top w:val="none" w:sz="0" w:space="0" w:color="auto"/>
        <w:left w:val="none" w:sz="0" w:space="0" w:color="auto"/>
        <w:bottom w:val="none" w:sz="0" w:space="0" w:color="auto"/>
        <w:right w:val="none" w:sz="0" w:space="0" w:color="auto"/>
      </w:divBdr>
    </w:div>
    <w:div w:id="497618350">
      <w:bodyDiv w:val="1"/>
      <w:marLeft w:val="0"/>
      <w:marRight w:val="0"/>
      <w:marTop w:val="0"/>
      <w:marBottom w:val="0"/>
      <w:divBdr>
        <w:top w:val="none" w:sz="0" w:space="0" w:color="auto"/>
        <w:left w:val="none" w:sz="0" w:space="0" w:color="auto"/>
        <w:bottom w:val="none" w:sz="0" w:space="0" w:color="auto"/>
        <w:right w:val="none" w:sz="0" w:space="0" w:color="auto"/>
      </w:divBdr>
    </w:div>
    <w:div w:id="885989549">
      <w:bodyDiv w:val="1"/>
      <w:marLeft w:val="0"/>
      <w:marRight w:val="0"/>
      <w:marTop w:val="0"/>
      <w:marBottom w:val="0"/>
      <w:divBdr>
        <w:top w:val="none" w:sz="0" w:space="0" w:color="auto"/>
        <w:left w:val="none" w:sz="0" w:space="0" w:color="auto"/>
        <w:bottom w:val="none" w:sz="0" w:space="0" w:color="auto"/>
        <w:right w:val="none" w:sz="0" w:space="0" w:color="auto"/>
      </w:divBdr>
      <w:divsChild>
        <w:div w:id="1124038255">
          <w:marLeft w:val="0"/>
          <w:marRight w:val="0"/>
          <w:marTop w:val="0"/>
          <w:marBottom w:val="0"/>
          <w:divBdr>
            <w:top w:val="none" w:sz="0" w:space="0" w:color="auto"/>
            <w:left w:val="none" w:sz="0" w:space="0" w:color="auto"/>
            <w:bottom w:val="none" w:sz="0" w:space="0" w:color="auto"/>
            <w:right w:val="none" w:sz="0" w:space="0" w:color="auto"/>
          </w:divBdr>
          <w:divsChild>
            <w:div w:id="1631016347">
              <w:marLeft w:val="0"/>
              <w:marRight w:val="0"/>
              <w:marTop w:val="0"/>
              <w:marBottom w:val="0"/>
              <w:divBdr>
                <w:top w:val="none" w:sz="0" w:space="0" w:color="auto"/>
                <w:left w:val="none" w:sz="0" w:space="0" w:color="auto"/>
                <w:bottom w:val="none" w:sz="0" w:space="0" w:color="auto"/>
                <w:right w:val="none" w:sz="0" w:space="0" w:color="auto"/>
              </w:divBdr>
            </w:div>
            <w:div w:id="996760511">
              <w:marLeft w:val="0"/>
              <w:marRight w:val="0"/>
              <w:marTop w:val="0"/>
              <w:marBottom w:val="0"/>
              <w:divBdr>
                <w:top w:val="none" w:sz="0" w:space="0" w:color="auto"/>
                <w:left w:val="none" w:sz="0" w:space="0" w:color="auto"/>
                <w:bottom w:val="none" w:sz="0" w:space="0" w:color="auto"/>
                <w:right w:val="none" w:sz="0" w:space="0" w:color="auto"/>
              </w:divBdr>
            </w:div>
            <w:div w:id="1429157830">
              <w:marLeft w:val="0"/>
              <w:marRight w:val="0"/>
              <w:marTop w:val="0"/>
              <w:marBottom w:val="0"/>
              <w:divBdr>
                <w:top w:val="none" w:sz="0" w:space="0" w:color="auto"/>
                <w:left w:val="none" w:sz="0" w:space="0" w:color="auto"/>
                <w:bottom w:val="none" w:sz="0" w:space="0" w:color="auto"/>
                <w:right w:val="none" w:sz="0" w:space="0" w:color="auto"/>
              </w:divBdr>
            </w:div>
            <w:div w:id="773095124">
              <w:marLeft w:val="0"/>
              <w:marRight w:val="0"/>
              <w:marTop w:val="0"/>
              <w:marBottom w:val="0"/>
              <w:divBdr>
                <w:top w:val="none" w:sz="0" w:space="0" w:color="auto"/>
                <w:left w:val="none" w:sz="0" w:space="0" w:color="auto"/>
                <w:bottom w:val="none" w:sz="0" w:space="0" w:color="auto"/>
                <w:right w:val="none" w:sz="0" w:space="0" w:color="auto"/>
              </w:divBdr>
            </w:div>
            <w:div w:id="858349021">
              <w:marLeft w:val="0"/>
              <w:marRight w:val="0"/>
              <w:marTop w:val="0"/>
              <w:marBottom w:val="0"/>
              <w:divBdr>
                <w:top w:val="none" w:sz="0" w:space="0" w:color="auto"/>
                <w:left w:val="none" w:sz="0" w:space="0" w:color="auto"/>
                <w:bottom w:val="none" w:sz="0" w:space="0" w:color="auto"/>
                <w:right w:val="none" w:sz="0" w:space="0" w:color="auto"/>
              </w:divBdr>
            </w:div>
            <w:div w:id="471020718">
              <w:marLeft w:val="0"/>
              <w:marRight w:val="0"/>
              <w:marTop w:val="0"/>
              <w:marBottom w:val="0"/>
              <w:divBdr>
                <w:top w:val="none" w:sz="0" w:space="0" w:color="auto"/>
                <w:left w:val="none" w:sz="0" w:space="0" w:color="auto"/>
                <w:bottom w:val="none" w:sz="0" w:space="0" w:color="auto"/>
                <w:right w:val="none" w:sz="0" w:space="0" w:color="auto"/>
              </w:divBdr>
            </w:div>
            <w:div w:id="4493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923373">
      <w:bodyDiv w:val="1"/>
      <w:marLeft w:val="0"/>
      <w:marRight w:val="0"/>
      <w:marTop w:val="0"/>
      <w:marBottom w:val="0"/>
      <w:divBdr>
        <w:top w:val="none" w:sz="0" w:space="0" w:color="auto"/>
        <w:left w:val="none" w:sz="0" w:space="0" w:color="auto"/>
        <w:bottom w:val="none" w:sz="0" w:space="0" w:color="auto"/>
        <w:right w:val="none" w:sz="0" w:space="0" w:color="auto"/>
      </w:divBdr>
    </w:div>
    <w:div w:id="163682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rs.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law.cornell.edu/uscode/text/26/132" TargetMode="External"/><Relationship Id="rId5" Type="http://schemas.openxmlformats.org/officeDocument/2006/relationships/hyperlink" Target="http://www.taxalmanac.org"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wpunj.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1960</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cp:revision>
  <dcterms:created xsi:type="dcterms:W3CDTF">2021-11-11T19:44:00Z</dcterms:created>
  <dcterms:modified xsi:type="dcterms:W3CDTF">2021-11-11T19:44:00Z</dcterms:modified>
</cp:coreProperties>
</file>